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798" w:rsidRPr="00D6233E" w:rsidRDefault="00F46798" w:rsidP="00F46798">
      <w:pPr>
        <w:autoSpaceDE w:val="0"/>
        <w:autoSpaceDN w:val="0"/>
        <w:adjustRightInd w:val="0"/>
        <w:jc w:val="center"/>
        <w:rPr>
          <w:rFonts w:asciiTheme="minorEastAsia" w:hAnsiTheme="minorEastAsia" w:cs="RyuminPro-Regular"/>
          <w:kern w:val="0"/>
          <w:sz w:val="24"/>
          <w:szCs w:val="24"/>
        </w:rPr>
      </w:pPr>
      <w:r w:rsidRPr="00D6233E">
        <w:rPr>
          <w:rFonts w:asciiTheme="minorEastAsia" w:hAnsiTheme="minorEastAsia" w:cs="RyuminPro-Regular" w:hint="eastAsia"/>
          <w:kern w:val="0"/>
          <w:sz w:val="24"/>
          <w:szCs w:val="24"/>
        </w:rPr>
        <w:t>第</w:t>
      </w:r>
      <w:r w:rsidR="00DD57CA" w:rsidRPr="00D6233E">
        <w:rPr>
          <w:rFonts w:asciiTheme="minorEastAsia" w:hAnsiTheme="minorEastAsia" w:cs="RyuminPro-Regular" w:hint="eastAsia"/>
          <w:kern w:val="0"/>
          <w:sz w:val="24"/>
          <w:szCs w:val="24"/>
        </w:rPr>
        <w:t>１２　漏電火災警報器</w:t>
      </w:r>
      <w:r w:rsidRPr="00D6233E">
        <w:rPr>
          <w:rFonts w:asciiTheme="minorEastAsia" w:hAnsiTheme="minorEastAsia" w:cs="RyuminPro-Regular" w:hint="eastAsia"/>
          <w:kern w:val="0"/>
          <w:sz w:val="24"/>
          <w:szCs w:val="24"/>
        </w:rPr>
        <w:t>の技術基準</w:t>
      </w:r>
    </w:p>
    <w:p w:rsidR="00DD57CA" w:rsidRPr="00D6233E" w:rsidRDefault="00DD57CA" w:rsidP="00DD57CA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漏電火災警報器は，令第</w:t>
      </w:r>
      <w:r w:rsidRPr="00D6233E">
        <w:rPr>
          <w:rFonts w:asciiTheme="minorEastAsia" w:hAnsiTheme="minorEastAsia" w:cs="RyuminPro-Regular"/>
          <w:kern w:val="0"/>
          <w:sz w:val="18"/>
          <w:szCs w:val="18"/>
        </w:rPr>
        <w:t>22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条，規則第</w:t>
      </w:r>
      <w:r w:rsidRPr="00D6233E">
        <w:rPr>
          <w:rFonts w:asciiTheme="minorEastAsia" w:hAnsiTheme="minorEastAsia" w:cs="RyuminPro-Regular"/>
          <w:kern w:val="0"/>
          <w:sz w:val="18"/>
          <w:szCs w:val="18"/>
        </w:rPr>
        <w:t>24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条の</w:t>
      </w:r>
      <w:r w:rsidR="001A001D">
        <w:rPr>
          <w:rFonts w:asciiTheme="minorEastAsia" w:hAnsiTheme="minorEastAsia" w:cs="RyuminPro-Regular" w:hint="eastAsia"/>
          <w:kern w:val="0"/>
          <w:sz w:val="18"/>
          <w:szCs w:val="18"/>
        </w:rPr>
        <w:t>３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及び漏電火災警報器に係る技術上の規格を定める省令（平成</w:t>
      </w:r>
      <w:r w:rsidRPr="00D6233E">
        <w:rPr>
          <w:rFonts w:asciiTheme="minorEastAsia" w:hAnsiTheme="minorEastAsia" w:cs="RyuminPro-Regular"/>
          <w:kern w:val="0"/>
          <w:sz w:val="18"/>
          <w:szCs w:val="18"/>
        </w:rPr>
        <w:t>25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年総務省令第</w:t>
      </w:r>
      <w:r w:rsidRPr="00D6233E">
        <w:rPr>
          <w:rFonts w:asciiTheme="minorEastAsia" w:hAnsiTheme="minorEastAsia" w:cs="RyuminPro-Regular"/>
          <w:kern w:val="0"/>
          <w:sz w:val="18"/>
          <w:szCs w:val="18"/>
        </w:rPr>
        <w:t>24</w:t>
      </w:r>
      <w:r w:rsidR="009D0CA7"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号）によるほか，次によるこ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と。</w:t>
      </w:r>
    </w:p>
    <w:p w:rsidR="00DD57CA" w:rsidRPr="00D6233E" w:rsidRDefault="00DD57CA" w:rsidP="00DD57CA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なお，令第</w:t>
      </w:r>
      <w:r w:rsidRPr="00D6233E">
        <w:rPr>
          <w:rFonts w:asciiTheme="minorEastAsia" w:hAnsiTheme="minorEastAsia" w:cs="RyuminPro-Regular"/>
          <w:kern w:val="0"/>
          <w:sz w:val="18"/>
          <w:szCs w:val="18"/>
        </w:rPr>
        <w:t>22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1A001D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項における「鉄網」には，亜鉛めっき鉄板の穴あき状のもの」は含まないものとする。</w:t>
      </w:r>
    </w:p>
    <w:p w:rsidR="001A001D" w:rsidRDefault="001A001D" w:rsidP="00DD57CA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１</w:t>
      </w:r>
      <w:r w:rsidR="00225DF9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</w:t>
      </w:r>
      <w:r w:rsidR="00DD57CA" w:rsidRPr="00D6233E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受信機及び変流器</w:t>
      </w:r>
    </w:p>
    <w:p w:rsidR="00DD57CA" w:rsidRPr="001A001D" w:rsidRDefault="00DD57CA" w:rsidP="001A001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受信機及び変流器は，令第</w:t>
      </w:r>
      <w:r w:rsidRPr="00D6233E">
        <w:rPr>
          <w:rFonts w:asciiTheme="minorEastAsia" w:hAnsiTheme="minorEastAsia" w:cs="RyuminPro-Regular"/>
          <w:kern w:val="0"/>
          <w:sz w:val="18"/>
          <w:szCs w:val="18"/>
        </w:rPr>
        <w:t>41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1A001D">
        <w:rPr>
          <w:rFonts w:asciiTheme="minorEastAsia" w:hAnsiTheme="minorEastAsia" w:cs="RyuminPro-Regular" w:hint="eastAsia"/>
          <w:kern w:val="0"/>
          <w:sz w:val="18"/>
          <w:szCs w:val="18"/>
        </w:rPr>
        <w:t>６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号の規定による自主表示品とすること。</w:t>
      </w:r>
    </w:p>
    <w:p w:rsidR="001A001D" w:rsidRDefault="001A001D" w:rsidP="001A001D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２</w:t>
      </w:r>
      <w:r w:rsidR="00225DF9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</w:t>
      </w:r>
      <w:r w:rsidR="00DD57CA" w:rsidRPr="00D6233E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警戒電路の定格電流</w:t>
      </w:r>
    </w:p>
    <w:p w:rsidR="001A001D" w:rsidRDefault="00DD57CA" w:rsidP="001A001D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⑴　警戒電路に設ける変流器の定格電流は，当該建築物の警戒電路における</w:t>
      </w:r>
    </w:p>
    <w:p w:rsidR="001A001D" w:rsidRDefault="00DD57CA" w:rsidP="001A001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負荷電流（せん頭負荷電流を除く。）の総和としての最大負荷電流値以上</w:t>
      </w:r>
    </w:p>
    <w:p w:rsidR="001A001D" w:rsidRDefault="00DD57CA" w:rsidP="001A001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とすること。</w:t>
      </w:r>
    </w:p>
    <w:p w:rsidR="001A001D" w:rsidRDefault="00DD57CA" w:rsidP="001A001D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⑵　Ｂ種接地線に設ける変流器の定格電流は，当該警戒電路の定格電圧の数</w:t>
      </w:r>
    </w:p>
    <w:p w:rsidR="001A001D" w:rsidRDefault="00DD57CA" w:rsidP="001A001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値の</w:t>
      </w:r>
      <w:r w:rsidRPr="00D6233E">
        <w:rPr>
          <w:rFonts w:asciiTheme="minorEastAsia" w:hAnsiTheme="minorEastAsia" w:cs="RyuminPro-Regular"/>
          <w:kern w:val="0"/>
          <w:sz w:val="18"/>
          <w:szCs w:val="18"/>
        </w:rPr>
        <w:t>20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％に相当する数値以上の電流値とすること。</w:t>
      </w:r>
    </w:p>
    <w:p w:rsidR="001A001D" w:rsidRDefault="001A001D" w:rsidP="001A001D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３</w:t>
      </w:r>
      <w:r w:rsidR="00225DF9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</w:t>
      </w:r>
      <w:r w:rsidR="00DD57CA" w:rsidRPr="00D6233E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設置場所</w:t>
      </w:r>
    </w:p>
    <w:p w:rsidR="001A001D" w:rsidRDefault="00DD57CA" w:rsidP="001A001D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⑴　漏電火災警報器は，次に掲げる場所以外の場所に設けること。</w:t>
      </w:r>
    </w:p>
    <w:p w:rsidR="001A001D" w:rsidRDefault="00DD57CA" w:rsidP="001A001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ただし，当該漏電火災警報器に防爆，防腐，防湿，防温，防振又は静電</w:t>
      </w:r>
    </w:p>
    <w:p w:rsidR="001A001D" w:rsidRDefault="00DD57CA" w:rsidP="001A001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しゃへい等設置場所に応じた適当な防護措置を施したものは，この限りで</w:t>
      </w:r>
    </w:p>
    <w:p w:rsidR="001A001D" w:rsidRDefault="00DD57CA" w:rsidP="001A001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ない。★</w:t>
      </w:r>
    </w:p>
    <w:p w:rsidR="001A001D" w:rsidRDefault="00DD57CA" w:rsidP="001A001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ア　可燃性ガス又は可燃性蒸気の滞留するおそれのある場所</w:t>
      </w:r>
    </w:p>
    <w:p w:rsidR="001A001D" w:rsidRDefault="009D0CA7" w:rsidP="001A001D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32"/>
        </w:rPr>
        <w:t>(</w:t>
      </w:r>
      <w:r w:rsidR="00DD57CA"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32"/>
        </w:rPr>
        <w:t>ア</w:t>
      </w:r>
      <w:r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32"/>
        </w:rPr>
        <w:t>)</w:t>
      </w:r>
      <w:r w:rsidR="00DD57CA"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プロパン等可燃性液化石油ガスの小分け作業等を行う場所</w:t>
      </w:r>
    </w:p>
    <w:p w:rsidR="001A001D" w:rsidRDefault="009D0CA7" w:rsidP="001A001D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31"/>
        </w:rPr>
        <w:t>(</w:t>
      </w:r>
      <w:r w:rsidR="00DD57CA"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31"/>
        </w:rPr>
        <w:t>イ</w:t>
      </w:r>
      <w:r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31"/>
        </w:rPr>
        <w:t>)</w:t>
      </w:r>
      <w:r w:rsidR="00DD57CA"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アセチレン発生器室等</w:t>
      </w:r>
    </w:p>
    <w:p w:rsidR="001A001D" w:rsidRDefault="009D0CA7" w:rsidP="001A001D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30"/>
        </w:rPr>
        <w:t>(</w:t>
      </w:r>
      <w:r w:rsidR="00DD57CA"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30"/>
        </w:rPr>
        <w:t>ウ</w:t>
      </w:r>
      <w:r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30"/>
        </w:rPr>
        <w:t>)</w:t>
      </w:r>
      <w:r w:rsidR="00DD57CA"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塗料工場のシンナーの取扱い及びラッカー，ワニス等の塗料を調合</w:t>
      </w:r>
    </w:p>
    <w:p w:rsidR="001A001D" w:rsidRDefault="00DD57CA" w:rsidP="001A001D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し，混合する場所</w:t>
      </w:r>
    </w:p>
    <w:p w:rsidR="001A001D" w:rsidRDefault="009D0CA7" w:rsidP="001A001D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29"/>
        </w:rPr>
        <w:t>(</w:t>
      </w:r>
      <w:r w:rsidR="00DD57CA"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29"/>
        </w:rPr>
        <w:t>エ</w:t>
      </w:r>
      <w:r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29"/>
        </w:rPr>
        <w:t>)</w:t>
      </w:r>
      <w:r w:rsidR="00DD57CA"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引火性の液体を溶剤とする吹付塗装作業等を行う場所</w:t>
      </w:r>
    </w:p>
    <w:p w:rsidR="001A001D" w:rsidRDefault="009D0CA7" w:rsidP="001A001D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28"/>
        </w:rPr>
        <w:t>(</w:t>
      </w:r>
      <w:r w:rsidR="00DD57CA"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28"/>
        </w:rPr>
        <w:t>オ</w:t>
      </w:r>
      <w:r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28"/>
        </w:rPr>
        <w:t>)</w:t>
      </w:r>
      <w:r w:rsidR="00DD57CA"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引火性の液体を用いるドライクリーニング工場の洗浄等の付近</w:t>
      </w:r>
    </w:p>
    <w:p w:rsidR="001A001D" w:rsidRDefault="009D0CA7" w:rsidP="001A001D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27"/>
        </w:rPr>
        <w:t>(</w:t>
      </w:r>
      <w:r w:rsidR="00DD57CA"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27"/>
        </w:rPr>
        <w:t>カ</w:t>
      </w:r>
      <w:r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27"/>
        </w:rPr>
        <w:t>)</w:t>
      </w:r>
      <w:r w:rsidR="00DD57CA"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引火性の液体を密閉していない容器に入れ，機械器具等の洗浄作業</w:t>
      </w:r>
    </w:p>
    <w:p w:rsidR="001A001D" w:rsidRDefault="00DD57CA" w:rsidP="001A001D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を主として行う場所</w:t>
      </w:r>
    </w:p>
    <w:p w:rsidR="001A001D" w:rsidRDefault="009D0CA7" w:rsidP="001A001D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26"/>
        </w:rPr>
        <w:t>(</w:t>
      </w:r>
      <w:r w:rsidR="00DD57CA"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26"/>
        </w:rPr>
        <w:t>キ</w:t>
      </w:r>
      <w:r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26"/>
        </w:rPr>
        <w:t>)</w:t>
      </w:r>
      <w:r w:rsidR="00DD57CA"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ゴム糊工場のゴム糊混合そう又は接着作業，乾燥作業を主として行</w:t>
      </w:r>
    </w:p>
    <w:p w:rsidR="001A001D" w:rsidRDefault="00DD57CA" w:rsidP="001A001D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う場所</w:t>
      </w:r>
    </w:p>
    <w:p w:rsidR="001A001D" w:rsidRDefault="009D0CA7" w:rsidP="001A001D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25"/>
        </w:rPr>
        <w:t>(</w:t>
      </w:r>
      <w:r w:rsidR="00DD57CA"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25"/>
        </w:rPr>
        <w:t>ク</w:t>
      </w:r>
      <w:r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25"/>
        </w:rPr>
        <w:t>)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引火性の液体を含む薬剤等の塗布作業及び乾燥作業を主として行</w:t>
      </w:r>
      <w:r w:rsidR="00DD57CA"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う</w:t>
      </w:r>
    </w:p>
    <w:p w:rsidR="001A001D" w:rsidRDefault="00DD57CA" w:rsidP="001A001D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場所</w:t>
      </w:r>
    </w:p>
    <w:p w:rsidR="001A001D" w:rsidRDefault="009D0CA7" w:rsidP="001A001D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24"/>
        </w:rPr>
        <w:t>(</w:t>
      </w:r>
      <w:r w:rsidR="00DD57CA"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24"/>
        </w:rPr>
        <w:t>ケ</w:t>
      </w:r>
      <w:r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24"/>
        </w:rPr>
        <w:t>)</w:t>
      </w:r>
      <w:r w:rsidR="00DD57CA"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引火性のガス，液体等を貯蔵し又は取扱う場所（完全に密閉した容</w:t>
      </w:r>
    </w:p>
    <w:p w:rsidR="001A001D" w:rsidRDefault="00DD57CA" w:rsidP="001A001D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器で扱うものを除く。）</w:t>
      </w:r>
    </w:p>
    <w:p w:rsidR="001A001D" w:rsidRDefault="009D0CA7" w:rsidP="001A001D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23"/>
        </w:rPr>
        <w:t>(</w:t>
      </w:r>
      <w:r w:rsidR="00DD57CA"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23"/>
        </w:rPr>
        <w:t>コ</w:t>
      </w:r>
      <w:r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23"/>
        </w:rPr>
        <w:t>)</w:t>
      </w:r>
      <w:r w:rsidR="00DD57CA"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酒類製造工場のエチルアルコール等の水割り作業を行う場所</w:t>
      </w:r>
    </w:p>
    <w:p w:rsidR="001A001D" w:rsidRDefault="00DD57CA" w:rsidP="001A001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イ　可燃性粉じんの滞留するおそれのある場所</w:t>
      </w:r>
    </w:p>
    <w:p w:rsidR="001A001D" w:rsidRDefault="009D0CA7" w:rsidP="001A001D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22"/>
        </w:rPr>
        <w:t>(</w:t>
      </w:r>
      <w:r w:rsidR="00DD57CA"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22"/>
        </w:rPr>
        <w:t>ア</w:t>
      </w:r>
      <w:r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22"/>
        </w:rPr>
        <w:t>)</w:t>
      </w:r>
      <w:r w:rsidR="00DD57CA"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可燃性粉じんのふるい分けをする場所</w:t>
      </w:r>
    </w:p>
    <w:p w:rsidR="001A001D" w:rsidRDefault="009D0CA7" w:rsidP="001A001D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21"/>
        </w:rPr>
        <w:t>(</w:t>
      </w:r>
      <w:r w:rsidR="00DD57CA"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21"/>
        </w:rPr>
        <w:t>イ</w:t>
      </w:r>
      <w:r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21"/>
        </w:rPr>
        <w:t>)</w:t>
      </w:r>
      <w:r w:rsidR="00DD57CA"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可燃性粉じんの製造所における粉砕場所</w:t>
      </w:r>
    </w:p>
    <w:p w:rsidR="001A001D" w:rsidRDefault="009D0CA7" w:rsidP="001A001D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20"/>
        </w:rPr>
        <w:lastRenderedPageBreak/>
        <w:t>(</w:t>
      </w:r>
      <w:r w:rsidR="00DD57CA"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20"/>
        </w:rPr>
        <w:t>ウ</w:t>
      </w:r>
      <w:r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20"/>
        </w:rPr>
        <w:t>)</w:t>
      </w:r>
      <w:r w:rsidR="00DD57CA"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可燃性粉じんを</w:t>
      </w:r>
      <w:r w:rsidR="001A001D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="00DD57CA"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の容器から他の容器に移す場所</w:t>
      </w:r>
    </w:p>
    <w:p w:rsidR="001A001D" w:rsidRDefault="009D0CA7" w:rsidP="001A001D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19"/>
        </w:rPr>
        <w:t>(</w:t>
      </w:r>
      <w:r w:rsidR="00DD57CA"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19"/>
        </w:rPr>
        <w:t>エ</w:t>
      </w:r>
      <w:r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2019"/>
        </w:rPr>
        <w:t>)</w:t>
      </w:r>
      <w:r w:rsidR="00DD57CA"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可燃性粉じんの貯蔵場所</w:t>
      </w:r>
    </w:p>
    <w:p w:rsidR="001A001D" w:rsidRDefault="009D0CA7" w:rsidP="001A001D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1776"/>
        </w:rPr>
        <w:t>(</w:t>
      </w:r>
      <w:r w:rsidR="00DD57CA"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1776"/>
        </w:rPr>
        <w:t>オ</w:t>
      </w:r>
      <w:r w:rsidRPr="001A001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891776"/>
        </w:rPr>
        <w:t>)</w:t>
      </w:r>
      <w:r w:rsidR="00DD57CA"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可燃性粉じんの乾燥場所</w:t>
      </w:r>
    </w:p>
    <w:p w:rsidR="001A001D" w:rsidRDefault="00DD57CA" w:rsidP="001A001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ウ　火薬類を製造し，貯蔵し又は取扱う場所</w:t>
      </w:r>
    </w:p>
    <w:p w:rsidR="001A001D" w:rsidRDefault="00DD57CA" w:rsidP="001A001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エ　腐食性のガス，蒸気等が多量に発生するおそれのある場所</w:t>
      </w:r>
    </w:p>
    <w:p w:rsidR="001A001D" w:rsidRDefault="00DD57CA" w:rsidP="001A001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オ　温度変化の激しい場所</w:t>
      </w:r>
    </w:p>
    <w:p w:rsidR="001A001D" w:rsidRDefault="00DD57CA" w:rsidP="001A001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カ　湿度の高い場所</w:t>
      </w:r>
    </w:p>
    <w:p w:rsidR="001A001D" w:rsidRDefault="00DD57CA" w:rsidP="001A001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キ　振動が激しく，機械的損傷を受けるおそれのある場所</w:t>
      </w:r>
    </w:p>
    <w:p w:rsidR="001A001D" w:rsidRDefault="00DD57CA" w:rsidP="001A001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ク　大電流回路，高周波発生回路等からの影響を受けるおそれのある場</w:t>
      </w:r>
      <w:r w:rsidR="001A001D">
        <w:rPr>
          <w:rFonts w:asciiTheme="minorEastAsia" w:hAnsiTheme="minorEastAsia" w:cs="RyuminPro-Regular" w:hint="eastAsia"/>
          <w:kern w:val="0"/>
          <w:sz w:val="18"/>
          <w:szCs w:val="18"/>
        </w:rPr>
        <w:t>所</w:t>
      </w:r>
    </w:p>
    <w:p w:rsidR="001A001D" w:rsidRDefault="00DD57CA" w:rsidP="001A001D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⑵　受信機は，屋内の点検が容易な位置に設けること。ただし，当該設備に</w:t>
      </w:r>
    </w:p>
    <w:p w:rsidR="001A001D" w:rsidRDefault="00DD57CA" w:rsidP="001A001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雨水等に対する適当な防護措置を施した場合は，屋外の点検が容易な位置</w:t>
      </w:r>
    </w:p>
    <w:p w:rsidR="001A001D" w:rsidRDefault="00DD57CA" w:rsidP="001A001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に設置することができる。</w:t>
      </w:r>
    </w:p>
    <w:p w:rsidR="001A001D" w:rsidRDefault="00DD57CA" w:rsidP="001A001D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⑶　変流器は，建築物に電力を供給する電路の引込部の外壁等に近接した電</w:t>
      </w:r>
    </w:p>
    <w:p w:rsidR="00DD57CA" w:rsidRPr="001A001D" w:rsidRDefault="00DD57CA" w:rsidP="001A001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路又はＢ種接地線で，点検が容易な位置に設置すること。</w:t>
      </w:r>
    </w:p>
    <w:p w:rsidR="001A001D" w:rsidRDefault="001A001D" w:rsidP="001A001D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４</w:t>
      </w:r>
      <w:r w:rsidR="009D0CA7" w:rsidRPr="00D6233E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</w:t>
      </w:r>
      <w:r w:rsidR="00DD57CA" w:rsidRPr="00D6233E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変流器の設置方法</w:t>
      </w:r>
    </w:p>
    <w:p w:rsidR="001A001D" w:rsidRDefault="00DD57CA" w:rsidP="001A001D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⑴　建築物に電気を供給する屋外の電路（建築構造上，屋外の電路に設ける</w:t>
      </w:r>
    </w:p>
    <w:p w:rsidR="001A001D" w:rsidRDefault="00DD57CA" w:rsidP="001A001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ことが困難な場合にあっては電路の引込口に近接した屋内の電路）又はＢ</w:t>
      </w:r>
    </w:p>
    <w:p w:rsidR="001A001D" w:rsidRDefault="00DD57CA" w:rsidP="001A001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種接地線で，当該変流器の点検が容易な位置に堅固に取り付けること。</w:t>
      </w:r>
    </w:p>
    <w:p w:rsidR="00DD57CA" w:rsidRPr="001A001D" w:rsidRDefault="00DD57CA" w:rsidP="001A001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例</w:t>
      </w:r>
      <w:r w:rsidR="00DC2D79">
        <w:rPr>
          <w:rFonts w:asciiTheme="minorEastAsia" w:hAnsiTheme="minorEastAsia" w:cs="RyuminPro-Regular"/>
          <w:kern w:val="0"/>
          <w:sz w:val="18"/>
          <w:szCs w:val="18"/>
        </w:rPr>
        <w:t>1</w:t>
      </w:r>
      <w:r w:rsidR="00DC2D79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低圧による引込方式の場合</w:t>
      </w:r>
    </w:p>
    <w:p w:rsidR="00DD57CA" w:rsidRPr="00D6233E" w:rsidRDefault="001A001D" w:rsidP="001A001D">
      <w:pPr>
        <w:autoSpaceDE w:val="0"/>
        <w:autoSpaceDN w:val="0"/>
        <w:adjustRightInd w:val="0"/>
        <w:jc w:val="right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/>
          <w:noProof/>
          <w:kern w:val="0"/>
          <w:sz w:val="18"/>
          <w:szCs w:val="18"/>
        </w:rPr>
        <w:drawing>
          <wp:inline distT="0" distB="0" distL="0" distR="0">
            <wp:extent cx="3801707" cy="2670175"/>
            <wp:effectExtent l="0" t="0" r="8890" b="0"/>
            <wp:docPr id="2" name="図 2" descr="ダイアグラム, 概略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0CFE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269" cy="267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D79" w:rsidRDefault="00DC2D79" w:rsidP="00966241">
      <w:pPr>
        <w:autoSpaceDE w:val="0"/>
        <w:autoSpaceDN w:val="0"/>
        <w:adjustRightInd w:val="0"/>
        <w:ind w:firstLineChars="250" w:firstLine="45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</w:p>
    <w:p w:rsidR="00DC2D79" w:rsidRDefault="00DC2D79" w:rsidP="00966241">
      <w:pPr>
        <w:autoSpaceDE w:val="0"/>
        <w:autoSpaceDN w:val="0"/>
        <w:adjustRightInd w:val="0"/>
        <w:ind w:firstLineChars="250" w:firstLine="45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</w:p>
    <w:p w:rsidR="00DC2D79" w:rsidRDefault="00DC2D79" w:rsidP="00966241">
      <w:pPr>
        <w:autoSpaceDE w:val="0"/>
        <w:autoSpaceDN w:val="0"/>
        <w:adjustRightInd w:val="0"/>
        <w:ind w:firstLineChars="250" w:firstLine="45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</w:p>
    <w:p w:rsidR="00DC2D79" w:rsidRDefault="00DC2D79" w:rsidP="00966241">
      <w:pPr>
        <w:autoSpaceDE w:val="0"/>
        <w:autoSpaceDN w:val="0"/>
        <w:adjustRightInd w:val="0"/>
        <w:ind w:firstLineChars="250" w:firstLine="45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</w:p>
    <w:p w:rsidR="00DC2D79" w:rsidRDefault="00DC2D79" w:rsidP="00966241">
      <w:pPr>
        <w:autoSpaceDE w:val="0"/>
        <w:autoSpaceDN w:val="0"/>
        <w:adjustRightInd w:val="0"/>
        <w:ind w:firstLineChars="250" w:firstLine="45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</w:p>
    <w:p w:rsidR="00DC2D79" w:rsidRDefault="00DC2D79" w:rsidP="00966241">
      <w:pPr>
        <w:autoSpaceDE w:val="0"/>
        <w:autoSpaceDN w:val="0"/>
        <w:adjustRightInd w:val="0"/>
        <w:ind w:firstLineChars="250" w:firstLine="45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</w:p>
    <w:p w:rsidR="00DC2D79" w:rsidRDefault="00DC2D79" w:rsidP="00966241">
      <w:pPr>
        <w:autoSpaceDE w:val="0"/>
        <w:autoSpaceDN w:val="0"/>
        <w:adjustRightInd w:val="0"/>
        <w:ind w:firstLineChars="250" w:firstLine="45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</w:p>
    <w:p w:rsidR="00DD57CA" w:rsidRPr="00D6233E" w:rsidRDefault="00DD57CA" w:rsidP="00966241">
      <w:pPr>
        <w:autoSpaceDE w:val="0"/>
        <w:autoSpaceDN w:val="0"/>
        <w:adjustRightInd w:val="0"/>
        <w:ind w:firstLineChars="250" w:firstLine="45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lastRenderedPageBreak/>
        <w:t>例</w:t>
      </w:r>
      <w:r w:rsidR="00DC2D79">
        <w:rPr>
          <w:rFonts w:asciiTheme="minorEastAsia" w:hAnsiTheme="minorEastAsia" w:cs="RyuminPro-Regular"/>
          <w:kern w:val="0"/>
          <w:sz w:val="18"/>
          <w:szCs w:val="18"/>
        </w:rPr>
        <w:t>2</w:t>
      </w:r>
      <w:r w:rsidR="00DC2D79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変圧器のＢ種接地線に設ける場合</w:t>
      </w:r>
    </w:p>
    <w:p w:rsidR="001A001D" w:rsidRDefault="001A001D" w:rsidP="001A001D">
      <w:pPr>
        <w:autoSpaceDE w:val="0"/>
        <w:autoSpaceDN w:val="0"/>
        <w:adjustRightInd w:val="0"/>
        <w:jc w:val="right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/>
          <w:noProof/>
          <w:kern w:val="0"/>
          <w:sz w:val="18"/>
          <w:szCs w:val="18"/>
        </w:rPr>
        <w:drawing>
          <wp:inline distT="0" distB="0" distL="0" distR="0">
            <wp:extent cx="3752233" cy="2169795"/>
            <wp:effectExtent l="0" t="0" r="635" b="1905"/>
            <wp:docPr id="3" name="図 3" descr="ダイアグラム, 概略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C046E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7349" cy="217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01D" w:rsidRDefault="00DD57CA" w:rsidP="001A001D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⑵　屋外の電路に設ける場合は，屋外型とすること。</w:t>
      </w:r>
    </w:p>
    <w:p w:rsidR="001A001D" w:rsidRDefault="00DD57CA" w:rsidP="001A001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ただし，屋内型で防水上有効な措置を講じた場合は，屋外の電路に設け</w:t>
      </w:r>
    </w:p>
    <w:p w:rsidR="001A001D" w:rsidRDefault="00DD57CA" w:rsidP="001A001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ることができる。◆</w:t>
      </w:r>
    </w:p>
    <w:p w:rsidR="001A001D" w:rsidRDefault="00DD57CA" w:rsidP="001A001D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⑶　契約電流容量の</w:t>
      </w:r>
      <w:r w:rsidRPr="00D6233E">
        <w:rPr>
          <w:rFonts w:asciiTheme="minorEastAsia" w:hAnsiTheme="minorEastAsia" w:cs="RyuminPro-Regular"/>
          <w:kern w:val="0"/>
          <w:sz w:val="18"/>
          <w:szCs w:val="18"/>
        </w:rPr>
        <w:t>125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％以上の電流値を有するものを設置した場合は，定格</w:t>
      </w:r>
    </w:p>
    <w:p w:rsidR="001A001D" w:rsidRDefault="00DD57CA" w:rsidP="001A001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電流以上のものを設置したものとみなす。◆</w:t>
      </w:r>
    </w:p>
    <w:p w:rsidR="001A001D" w:rsidRDefault="00DD57CA" w:rsidP="001A001D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⑷　Ｂ種接地線に設ける場合は，当該接地線の太さを考慮し，変流器の口径</w:t>
      </w:r>
    </w:p>
    <w:p w:rsidR="001A001D" w:rsidRDefault="00DD57CA" w:rsidP="001A001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に十分余裕のあるものを設けること。◆</w:t>
      </w:r>
    </w:p>
    <w:p w:rsidR="001A001D" w:rsidRDefault="00DD57CA" w:rsidP="001A001D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⑸　引き込み線の抜き換えが予想される場合は，分割型の変流器を使用する</w:t>
      </w:r>
    </w:p>
    <w:p w:rsidR="001A001D" w:rsidRDefault="00DD57CA" w:rsidP="001A001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こと。◆</w:t>
      </w:r>
    </w:p>
    <w:p w:rsidR="001A001D" w:rsidRDefault="001A001D" w:rsidP="001A001D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５</w:t>
      </w:r>
      <w:r w:rsidR="00966241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</w:t>
      </w:r>
      <w:r w:rsidR="00DD57CA" w:rsidRPr="00D6233E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電源</w:t>
      </w:r>
    </w:p>
    <w:p w:rsidR="001A001D" w:rsidRDefault="00DD57CA" w:rsidP="001A001D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⑴　漏電火災警報器の操作電源は，電流制限器（電流制限器を設けていない</w:t>
      </w:r>
    </w:p>
    <w:p w:rsidR="001A001D" w:rsidRDefault="00DD57CA" w:rsidP="001A001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場合にあっては主開閉器）の一次側から専用回路として分岐し，その専用</w:t>
      </w:r>
    </w:p>
    <w:p w:rsidR="001A001D" w:rsidRDefault="00DD57CA" w:rsidP="001A001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回路には，開閉器（定格</w:t>
      </w:r>
      <w:r w:rsidRPr="00D6233E">
        <w:rPr>
          <w:rFonts w:asciiTheme="minorEastAsia" w:hAnsiTheme="minorEastAsia" w:cs="RyuminPro-Regular"/>
          <w:kern w:val="0"/>
          <w:sz w:val="18"/>
          <w:szCs w:val="18"/>
        </w:rPr>
        <w:t>15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Ａのヒューズ付き開閉器又は定格</w:t>
      </w:r>
      <w:r w:rsidRPr="00D6233E">
        <w:rPr>
          <w:rFonts w:asciiTheme="minorEastAsia" w:hAnsiTheme="minorEastAsia" w:cs="RyuminPro-Regular"/>
          <w:kern w:val="0"/>
          <w:sz w:val="18"/>
          <w:szCs w:val="18"/>
        </w:rPr>
        <w:t>20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Ａ以下の配</w:t>
      </w:r>
    </w:p>
    <w:p w:rsidR="001A001D" w:rsidRDefault="00DD57CA" w:rsidP="001A001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線用遮断器）を設けること。</w:t>
      </w:r>
    </w:p>
    <w:p w:rsidR="001A001D" w:rsidRDefault="00DD57CA" w:rsidP="001A001D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⑵　漏電火災警報器の専用回路に設ける開閉器には，漏電火災警報器用のも</w:t>
      </w:r>
    </w:p>
    <w:p w:rsidR="001A001D" w:rsidRDefault="00DD57CA" w:rsidP="001A001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のである旨を赤色で表示すること。</w:t>
      </w:r>
    </w:p>
    <w:p w:rsidR="001A001D" w:rsidRDefault="001A001D" w:rsidP="001A001D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６</w:t>
      </w:r>
      <w:r w:rsidR="00966241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</w:t>
      </w:r>
      <w:r w:rsidR="00DD57CA" w:rsidRPr="00D6233E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配線</w:t>
      </w:r>
    </w:p>
    <w:p w:rsidR="001A001D" w:rsidRDefault="00DD57CA" w:rsidP="001A001D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⑴　配線に用いる電線は，次表のＡ欄に掲げる電線の種類に応じ，それぞれ</w:t>
      </w:r>
    </w:p>
    <w:p w:rsidR="001A001D" w:rsidRDefault="00DD57CA" w:rsidP="001A001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Ｂ欄に掲げる規格に適合し，かつ，Ｃ欄に掲げる導体直径若しくは導体の</w:t>
      </w:r>
    </w:p>
    <w:p w:rsidR="001A001D" w:rsidRDefault="00DD57CA" w:rsidP="001A001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断面積を有するもの又はＢ欄及びＣ欄に掲げる電線に適合するものと同等</w:t>
      </w:r>
    </w:p>
    <w:p w:rsidR="00DD57CA" w:rsidRPr="00225DF9" w:rsidRDefault="00DD57CA" w:rsidP="001A001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以上の電線としての性能を有するものであること。</w:t>
      </w:r>
    </w:p>
    <w:p w:rsidR="00DD57CA" w:rsidRPr="00D6233E" w:rsidRDefault="00DD57CA" w:rsidP="00225DF9">
      <w:pPr>
        <w:jc w:val="center"/>
        <w:rPr>
          <w:rFonts w:asciiTheme="minorEastAsia" w:hAnsiTheme="minorEastAsia"/>
        </w:rPr>
      </w:pPr>
    </w:p>
    <w:p w:rsidR="00DD57CA" w:rsidRDefault="00DD57CA" w:rsidP="009D6E28">
      <w:pPr>
        <w:jc w:val="center"/>
        <w:rPr>
          <w:rFonts w:asciiTheme="minorEastAsia" w:hAnsiTheme="minorEastAsia"/>
          <w:noProof/>
        </w:rPr>
      </w:pPr>
    </w:p>
    <w:p w:rsidR="001A001D" w:rsidRDefault="001A001D" w:rsidP="009D6E28">
      <w:pPr>
        <w:jc w:val="center"/>
        <w:rPr>
          <w:rFonts w:asciiTheme="minorEastAsia" w:hAnsiTheme="minorEastAsia"/>
          <w:noProof/>
        </w:rPr>
      </w:pPr>
    </w:p>
    <w:p w:rsidR="001A001D" w:rsidRDefault="001A001D" w:rsidP="009D6E28">
      <w:pPr>
        <w:jc w:val="center"/>
        <w:rPr>
          <w:rFonts w:asciiTheme="minorEastAsia" w:hAnsiTheme="minorEastAsia"/>
          <w:noProof/>
        </w:rPr>
      </w:pPr>
    </w:p>
    <w:p w:rsidR="001A001D" w:rsidRDefault="001A001D" w:rsidP="009D6E28">
      <w:pPr>
        <w:jc w:val="center"/>
        <w:rPr>
          <w:rFonts w:asciiTheme="minorEastAsia" w:hAnsiTheme="minorEastAsia"/>
          <w:noProof/>
        </w:rPr>
      </w:pPr>
    </w:p>
    <w:p w:rsidR="001A001D" w:rsidRDefault="001A001D" w:rsidP="009D6E28">
      <w:pPr>
        <w:jc w:val="center"/>
        <w:rPr>
          <w:rFonts w:asciiTheme="minorEastAsia" w:hAnsiTheme="minorEastAsia"/>
          <w:noProof/>
        </w:rPr>
      </w:pPr>
    </w:p>
    <w:p w:rsidR="00626D40" w:rsidRDefault="00626D40" w:rsidP="00626D40">
      <w:pPr>
        <w:jc w:val="center"/>
        <w:rPr>
          <w:rFonts w:asciiTheme="minorEastAsia" w:hAnsiTheme="minorEastAsia"/>
        </w:rPr>
      </w:pPr>
      <w:r w:rsidRPr="00626D40">
        <w:lastRenderedPageBreak/>
        <w:drawing>
          <wp:inline distT="0" distB="0" distL="0" distR="0">
            <wp:extent cx="4343149" cy="719184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521" cy="719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40" w:rsidRDefault="00DD57CA" w:rsidP="00626D40">
      <w:pPr>
        <w:ind w:firstLineChars="100" w:firstLine="180"/>
        <w:jc w:val="left"/>
        <w:rPr>
          <w:rFonts w:asciiTheme="minorEastAsia" w:hAnsiTheme="minorEastAsia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⑵　変流器の二次側配線は，次により設置すること。</w:t>
      </w:r>
    </w:p>
    <w:p w:rsidR="00626D40" w:rsidRDefault="00DD57CA" w:rsidP="00626D40">
      <w:pPr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ア　配線にはシールドケーブルを使用するか，配線相互間を密着して設け</w:t>
      </w:r>
    </w:p>
    <w:p w:rsidR="00626D40" w:rsidRDefault="00DD57CA" w:rsidP="00626D40">
      <w:pPr>
        <w:ind w:firstLineChars="300" w:firstLine="540"/>
        <w:jc w:val="left"/>
        <w:rPr>
          <w:rFonts w:asciiTheme="minorEastAsia" w:hAnsiTheme="minorEastAsia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ること。</w:t>
      </w:r>
    </w:p>
    <w:p w:rsidR="00626D40" w:rsidRDefault="00DD57CA" w:rsidP="00626D40">
      <w:pPr>
        <w:ind w:firstLineChars="200" w:firstLine="360"/>
        <w:jc w:val="left"/>
        <w:rPr>
          <w:rFonts w:asciiTheme="minorEastAsia" w:hAnsiTheme="minorEastAsia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イ　配線こう長をできる限り短くすること。</w:t>
      </w:r>
    </w:p>
    <w:p w:rsidR="00DD57CA" w:rsidRDefault="00DD57CA" w:rsidP="00626D40">
      <w:pPr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ウ　大電流回路からはできるだけ離隔すること。</w:t>
      </w:r>
    </w:p>
    <w:p w:rsidR="00626D40" w:rsidRPr="00626D40" w:rsidRDefault="00626D40" w:rsidP="00626D40">
      <w:pPr>
        <w:ind w:firstLineChars="200" w:firstLine="420"/>
        <w:jc w:val="left"/>
        <w:rPr>
          <w:rFonts w:asciiTheme="minorEastAsia" w:hAnsiTheme="minorEastAsia" w:hint="eastAsia"/>
        </w:rPr>
      </w:pPr>
      <w:bookmarkStart w:id="0" w:name="_GoBack"/>
      <w:bookmarkEnd w:id="0"/>
    </w:p>
    <w:p w:rsidR="00626D40" w:rsidRDefault="00626D40" w:rsidP="00626D40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lastRenderedPageBreak/>
        <w:t>７</w:t>
      </w:r>
      <w:r w:rsidR="009D0CA7" w:rsidRPr="00D6233E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</w:t>
      </w:r>
      <w:r w:rsidR="00DD57CA" w:rsidRPr="00D6233E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検出漏洩電流設定値</w:t>
      </w:r>
    </w:p>
    <w:p w:rsidR="00626D40" w:rsidRDefault="00DD57CA" w:rsidP="00626D40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検出漏洩電流設定値は，建築物の警戒電路の負荷，電線こう長等を考慮し</w:t>
      </w:r>
    </w:p>
    <w:p w:rsidR="00626D40" w:rsidRDefault="00DD57CA" w:rsidP="00626D40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て</w:t>
      </w:r>
      <w:r w:rsidRPr="00D6233E">
        <w:rPr>
          <w:rFonts w:asciiTheme="minorEastAsia" w:hAnsiTheme="minorEastAsia" w:cs="RyuminPro-Regular"/>
          <w:kern w:val="0"/>
          <w:sz w:val="18"/>
          <w:szCs w:val="18"/>
        </w:rPr>
        <w:t>100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ｍＡ～</w:t>
      </w:r>
      <w:r w:rsidRPr="00D6233E">
        <w:rPr>
          <w:rFonts w:asciiTheme="minorEastAsia" w:hAnsiTheme="minorEastAsia" w:cs="RyuminPro-Regular"/>
          <w:kern w:val="0"/>
          <w:sz w:val="18"/>
          <w:szCs w:val="18"/>
        </w:rPr>
        <w:t>400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ｍＡ（Ｂ種接地線に設けるものにあっては</w:t>
      </w:r>
      <w:r w:rsidRPr="00D6233E">
        <w:rPr>
          <w:rFonts w:asciiTheme="minorEastAsia" w:hAnsiTheme="minorEastAsia" w:cs="RyuminPro-Regular"/>
          <w:kern w:val="0"/>
          <w:sz w:val="18"/>
          <w:szCs w:val="18"/>
        </w:rPr>
        <w:t>400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ｍＡ～</w:t>
      </w:r>
      <w:r w:rsidRPr="00D6233E">
        <w:rPr>
          <w:rFonts w:asciiTheme="minorEastAsia" w:hAnsiTheme="minorEastAsia" w:cs="RyuminPro-Regular"/>
          <w:kern w:val="0"/>
          <w:sz w:val="18"/>
          <w:szCs w:val="18"/>
        </w:rPr>
        <w:t>800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ｍＡ）</w:t>
      </w:r>
    </w:p>
    <w:p w:rsidR="00DD57CA" w:rsidRPr="00626D40" w:rsidRDefault="00DD57CA" w:rsidP="00626D40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を標準として誤報が生じない範囲内に設定すること。</w:t>
      </w:r>
    </w:p>
    <w:p w:rsidR="00626D40" w:rsidRDefault="00626D40" w:rsidP="00626D40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８</w:t>
      </w:r>
      <w:r w:rsidR="009D0CA7" w:rsidRPr="00D6233E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</w:t>
      </w:r>
      <w:r w:rsidR="00DD57CA" w:rsidRPr="00D6233E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令第</w:t>
      </w:r>
      <w:r w:rsidR="00DD57CA" w:rsidRPr="00D6233E">
        <w:rPr>
          <w:rFonts w:asciiTheme="minorEastAsia" w:hAnsiTheme="minorEastAsia" w:cs="FutoGoB101Pro-Bold"/>
          <w:b/>
          <w:bCs/>
          <w:kern w:val="0"/>
          <w:sz w:val="18"/>
          <w:szCs w:val="18"/>
        </w:rPr>
        <w:t>32</w:t>
      </w:r>
      <w:r w:rsidR="00DD57CA" w:rsidRPr="00D6233E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条の特例基準</w:t>
      </w:r>
    </w:p>
    <w:p w:rsidR="00626D40" w:rsidRDefault="00DD57CA" w:rsidP="00626D40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⑴　令第</w:t>
      </w:r>
      <w:r w:rsidRPr="00D6233E">
        <w:rPr>
          <w:rFonts w:asciiTheme="minorEastAsia" w:hAnsiTheme="minorEastAsia" w:cs="RyuminPro-Regular"/>
          <w:kern w:val="0"/>
          <w:sz w:val="18"/>
          <w:szCs w:val="18"/>
        </w:rPr>
        <w:t>22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626D40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項の適用を受ける建築物で，次の各号の</w:t>
      </w:r>
      <w:r w:rsidR="00626D40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に適合するもの</w:t>
      </w:r>
    </w:p>
    <w:p w:rsidR="00626D40" w:rsidRDefault="00DD57CA" w:rsidP="00626D40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は，令第</w:t>
      </w:r>
      <w:r w:rsidRPr="00D6233E">
        <w:rPr>
          <w:rFonts w:asciiTheme="minorEastAsia" w:hAnsiTheme="minorEastAsia" w:cs="RyuminPro-Regular"/>
          <w:kern w:val="0"/>
          <w:sz w:val="18"/>
          <w:szCs w:val="18"/>
        </w:rPr>
        <w:t>32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条の規定を適用し，漏電火災警報器を設けないことができる。</w:t>
      </w:r>
    </w:p>
    <w:p w:rsidR="00626D40" w:rsidRDefault="00DD57CA" w:rsidP="00626D40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ア　令第</w:t>
      </w:r>
      <w:r w:rsidRPr="00D6233E">
        <w:rPr>
          <w:rFonts w:asciiTheme="minorEastAsia" w:hAnsiTheme="minorEastAsia" w:cs="RyuminPro-Regular"/>
          <w:kern w:val="0"/>
          <w:sz w:val="18"/>
          <w:szCs w:val="18"/>
        </w:rPr>
        <w:t>22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626D40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項に定める壁，床又は天井（以下「令第</w:t>
      </w:r>
      <w:r w:rsidRPr="00D6233E">
        <w:rPr>
          <w:rFonts w:asciiTheme="minorEastAsia" w:hAnsiTheme="minorEastAsia" w:cs="RyuminPro-Regular"/>
          <w:kern w:val="0"/>
          <w:sz w:val="18"/>
          <w:szCs w:val="18"/>
        </w:rPr>
        <w:t>22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条の壁等」と</w:t>
      </w:r>
    </w:p>
    <w:p w:rsidR="00626D40" w:rsidRDefault="00DD57CA" w:rsidP="00626D40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いう。）に現に電気配線がなされておらず，かつ，当該建築物の業態か</w:t>
      </w:r>
    </w:p>
    <w:p w:rsidR="00626D40" w:rsidRDefault="00DD57CA" w:rsidP="00626D40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らみて令第</w:t>
      </w:r>
      <w:r w:rsidRPr="00D6233E">
        <w:rPr>
          <w:rFonts w:asciiTheme="minorEastAsia" w:hAnsiTheme="minorEastAsia" w:cs="RyuminPro-Regular"/>
          <w:kern w:val="0"/>
          <w:sz w:val="18"/>
          <w:szCs w:val="18"/>
        </w:rPr>
        <w:t>22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条の壁等に電気配線がなされる見込みがないと認められる</w:t>
      </w:r>
    </w:p>
    <w:p w:rsidR="00626D40" w:rsidRDefault="00DD57CA" w:rsidP="00626D40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建築物</w:t>
      </w:r>
    </w:p>
    <w:p w:rsidR="00626D40" w:rsidRDefault="00DD57CA" w:rsidP="00626D40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イ　令第</w:t>
      </w:r>
      <w:r w:rsidRPr="00D6233E">
        <w:rPr>
          <w:rFonts w:asciiTheme="minorEastAsia" w:hAnsiTheme="minorEastAsia" w:cs="RyuminPro-Regular"/>
          <w:kern w:val="0"/>
          <w:sz w:val="18"/>
          <w:szCs w:val="18"/>
        </w:rPr>
        <w:t>22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条の壁等が一部にしか存在しない建築物で，令第</w:t>
      </w:r>
      <w:r w:rsidRPr="00D6233E">
        <w:rPr>
          <w:rFonts w:asciiTheme="minorEastAsia" w:hAnsiTheme="minorEastAsia" w:cs="RyuminPro-Regular"/>
          <w:kern w:val="0"/>
          <w:sz w:val="18"/>
          <w:szCs w:val="18"/>
        </w:rPr>
        <w:t>22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条の壁等に</w:t>
      </w:r>
    </w:p>
    <w:p w:rsidR="00626D40" w:rsidRDefault="00DD57CA" w:rsidP="00626D40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漏電があっても，地絡電流が流れるおそれがないと認められるもの</w:t>
      </w:r>
    </w:p>
    <w:p w:rsidR="00626D40" w:rsidRDefault="00DD57CA" w:rsidP="00626D40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ウ　準耐火建築物で，令第</w:t>
      </w:r>
      <w:r w:rsidRPr="00D6233E">
        <w:rPr>
          <w:rFonts w:asciiTheme="minorEastAsia" w:hAnsiTheme="minorEastAsia" w:cs="RyuminPro-Regular"/>
          <w:kern w:val="0"/>
          <w:sz w:val="18"/>
          <w:szCs w:val="18"/>
        </w:rPr>
        <w:t>22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条の壁等になされている電気配線が金属管工</w:t>
      </w:r>
    </w:p>
    <w:p w:rsidR="00626D40" w:rsidRDefault="00DD57CA" w:rsidP="00626D40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事，金属線ぴ工事，可とう電線管工事，金属ダクト工事，バスダクト工</w:t>
      </w:r>
    </w:p>
    <w:p w:rsidR="00626D40" w:rsidRDefault="00DD57CA" w:rsidP="00626D40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事，フロアダクト工事，その他電気配線を被覆する金属体による工事の</w:t>
      </w:r>
    </w:p>
    <w:p w:rsidR="00626D40" w:rsidRDefault="00DD57CA" w:rsidP="00626D40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いずれかにより施工されており，当該金属管等がＤ種接地工事又はＣ種</w:t>
      </w:r>
    </w:p>
    <w:p w:rsidR="00626D40" w:rsidRDefault="00DD57CA" w:rsidP="00626D40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接地工事により接地され，かつ，当該金属管等の接地線と大地との電気</w:t>
      </w:r>
    </w:p>
    <w:p w:rsidR="00626D40" w:rsidRDefault="00DD57CA" w:rsidP="00626D40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抵抗が，Ｄ種接地工事の場合は</w:t>
      </w:r>
      <w:r w:rsidRPr="00D6233E">
        <w:rPr>
          <w:rFonts w:asciiTheme="minorEastAsia" w:hAnsiTheme="minorEastAsia" w:cs="RyuminPro-Regular"/>
          <w:kern w:val="0"/>
          <w:sz w:val="18"/>
          <w:szCs w:val="18"/>
        </w:rPr>
        <w:t>100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Ω以下，Ｃ種接地工事の場合は</w:t>
      </w:r>
      <w:r w:rsidRPr="00D6233E">
        <w:rPr>
          <w:rFonts w:asciiTheme="minorEastAsia" w:hAnsiTheme="minorEastAsia" w:cs="RyuminPro-Regular"/>
          <w:kern w:val="0"/>
          <w:sz w:val="18"/>
          <w:szCs w:val="18"/>
        </w:rPr>
        <w:t>10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Ω以</w:t>
      </w:r>
    </w:p>
    <w:p w:rsidR="00626D40" w:rsidRDefault="00DD57CA" w:rsidP="00626D40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下の建築物</w:t>
      </w:r>
    </w:p>
    <w:p w:rsidR="00626D40" w:rsidRDefault="00DD57CA" w:rsidP="00626D40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エ　令別表第</w:t>
      </w:r>
      <w:r w:rsidR="00626D40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⑺項及び⒁項に掲げる建築物で，当該建築物における契約</w:t>
      </w:r>
    </w:p>
    <w:p w:rsidR="00626D40" w:rsidRDefault="00DD57CA" w:rsidP="00626D40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電流容量（同一建築物で契約種別の異なる電気が供給されている場合は，</w:t>
      </w:r>
    </w:p>
    <w:p w:rsidR="00626D40" w:rsidRDefault="00DD57CA" w:rsidP="00626D40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契約種別ごとの電気容量。）が</w:t>
      </w:r>
      <w:r w:rsidRPr="00D6233E">
        <w:rPr>
          <w:rFonts w:asciiTheme="minorEastAsia" w:hAnsiTheme="minorEastAsia" w:cs="RyuminPro-Regular"/>
          <w:kern w:val="0"/>
          <w:sz w:val="18"/>
          <w:szCs w:val="18"/>
        </w:rPr>
        <w:t>10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Ａ以下のもの</w:t>
      </w:r>
    </w:p>
    <w:p w:rsidR="00626D40" w:rsidRDefault="00DD57CA" w:rsidP="00626D40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⑵　同一敷地内に管理について権原を有する者が同一の者である令第</w:t>
      </w:r>
      <w:r w:rsidRPr="00D6233E">
        <w:rPr>
          <w:rFonts w:asciiTheme="minorEastAsia" w:hAnsiTheme="minorEastAsia" w:cs="RyuminPro-Regular"/>
          <w:kern w:val="0"/>
          <w:sz w:val="18"/>
          <w:szCs w:val="18"/>
        </w:rPr>
        <w:t>22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</w:p>
    <w:p w:rsidR="00626D40" w:rsidRDefault="00626D40" w:rsidP="00626D40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="00DD57CA"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項に該当する建築物が，</w:t>
      </w:r>
      <w:r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="00DD57CA"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以上近接している場合（令第</w:t>
      </w:r>
      <w:r>
        <w:rPr>
          <w:rFonts w:asciiTheme="minorEastAsia" w:hAnsiTheme="minorEastAsia" w:cs="RyuminPro-Regular" w:hint="eastAsia"/>
          <w:kern w:val="0"/>
          <w:sz w:val="18"/>
          <w:szCs w:val="18"/>
        </w:rPr>
        <w:t>８</w:t>
      </w:r>
      <w:r w:rsidR="00DD57CA"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条の規定によ</w:t>
      </w:r>
    </w:p>
    <w:p w:rsidR="00626D40" w:rsidRDefault="00DD57CA" w:rsidP="00626D40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り別の防火対象物とみなされる各部分が</w:t>
      </w:r>
      <w:r w:rsidR="00626D40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以上ある場合及び令第</w:t>
      </w:r>
      <w:r w:rsidR="00626D40">
        <w:rPr>
          <w:rFonts w:asciiTheme="minorEastAsia" w:hAnsiTheme="minorEastAsia" w:cs="RyuminPro-Regular" w:hint="eastAsia"/>
          <w:kern w:val="0"/>
          <w:sz w:val="18"/>
          <w:szCs w:val="18"/>
        </w:rPr>
        <w:t>９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条の規</w:t>
      </w:r>
    </w:p>
    <w:p w:rsidR="00626D40" w:rsidRDefault="00DD57CA" w:rsidP="00626D40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定により</w:t>
      </w:r>
      <w:r w:rsidR="00626D40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の防火対象物とみなされる各部分が</w:t>
      </w:r>
      <w:r w:rsidR="00626D40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以上ある場合を含む。）</w:t>
      </w:r>
    </w:p>
    <w:p w:rsidR="00626D40" w:rsidRDefault="00DD57CA" w:rsidP="00626D40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において，当該建築物が電気の引込線を共通にするときは，令第</w:t>
      </w:r>
      <w:r w:rsidRPr="00D6233E">
        <w:rPr>
          <w:rFonts w:asciiTheme="minorEastAsia" w:hAnsiTheme="minorEastAsia" w:cs="RyuminPro-Regular"/>
          <w:kern w:val="0"/>
          <w:sz w:val="18"/>
          <w:szCs w:val="18"/>
        </w:rPr>
        <w:t>32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条の規</w:t>
      </w:r>
    </w:p>
    <w:p w:rsidR="00626D40" w:rsidRDefault="00DD57CA" w:rsidP="00626D40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定を適用し，当該共通にする引込線ごとに</w:t>
      </w:r>
      <w:r w:rsidR="00626D40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個の漏電火災警報器を設置す</w:t>
      </w:r>
    </w:p>
    <w:p w:rsidR="00DD57CA" w:rsidRPr="00626D40" w:rsidRDefault="00DD57CA" w:rsidP="00626D40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D6233E">
        <w:rPr>
          <w:rFonts w:asciiTheme="minorEastAsia" w:hAnsiTheme="minorEastAsia" w:cs="RyuminPro-Regular" w:hint="eastAsia"/>
          <w:kern w:val="0"/>
          <w:sz w:val="18"/>
          <w:szCs w:val="18"/>
        </w:rPr>
        <w:t>ることができる。</w:t>
      </w:r>
    </w:p>
    <w:sectPr w:rsidR="00DD57CA" w:rsidRPr="00626D40" w:rsidSect="007964F4">
      <w:headerReference w:type="default" r:id="rId10"/>
      <w:footerReference w:type="default" r:id="rId11"/>
      <w:pgSz w:w="11906" w:h="16838"/>
      <w:pgMar w:top="1440" w:right="2778" w:bottom="1440" w:left="27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5EF" w:rsidRDefault="007A05EF" w:rsidP="002572CC">
      <w:r>
        <w:separator/>
      </w:r>
    </w:p>
  </w:endnote>
  <w:endnote w:type="continuationSeparator" w:id="0">
    <w:p w:rsidR="007A05EF" w:rsidRDefault="007A05EF" w:rsidP="0025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153878"/>
      <w:docPartObj>
        <w:docPartGallery w:val="Page Numbers (Bottom of Page)"/>
        <w:docPartUnique/>
      </w:docPartObj>
    </w:sdtPr>
    <w:sdtEndPr/>
    <w:sdtContent>
      <w:p w:rsidR="001116BB" w:rsidRDefault="001116B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D79" w:rsidRPr="00DC2D79">
          <w:rPr>
            <w:noProof/>
            <w:lang w:val="ja-JP"/>
          </w:rPr>
          <w:t>6</w:t>
        </w:r>
        <w:r>
          <w:fldChar w:fldCharType="end"/>
        </w:r>
      </w:p>
    </w:sdtContent>
  </w:sdt>
  <w:p w:rsidR="001116BB" w:rsidRDefault="001116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5EF" w:rsidRDefault="007A05EF" w:rsidP="002572CC">
      <w:r>
        <w:separator/>
      </w:r>
    </w:p>
  </w:footnote>
  <w:footnote w:type="continuationSeparator" w:id="0">
    <w:p w:rsidR="007A05EF" w:rsidRDefault="007A05EF" w:rsidP="0025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 w:hint="eastAsia"/>
        <w:sz w:val="16"/>
        <w:szCs w:val="16"/>
      </w:rPr>
      <w:alias w:val="タイトル"/>
      <w:id w:val="77738743"/>
      <w:placeholder>
        <w:docPart w:val="1140C243CAB44DD6A3BD29AED8A9333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22846" w:rsidRDefault="00D6233E" w:rsidP="00D22846">
        <w:pPr>
          <w:pStyle w:val="a3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>第</w:t>
        </w: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>12</w:t>
        </w:r>
        <w:r w:rsidR="00DD57CA">
          <w:rPr>
            <w:rFonts w:asciiTheme="majorHAnsi" w:eastAsiaTheme="majorEastAsia" w:hAnsiTheme="majorHAnsi" w:cstheme="majorBidi" w:hint="eastAsia"/>
            <w:sz w:val="16"/>
            <w:szCs w:val="16"/>
          </w:rPr>
          <w:t xml:space="preserve">　漏電火災警報器</w:t>
        </w:r>
        <w:r w:rsidR="00D22846" w:rsidRPr="00D22846">
          <w:rPr>
            <w:rFonts w:asciiTheme="majorHAnsi" w:eastAsiaTheme="majorEastAsia" w:hAnsiTheme="majorHAnsi" w:cstheme="majorBidi" w:hint="eastAsia"/>
            <w:sz w:val="16"/>
            <w:szCs w:val="16"/>
          </w:rPr>
          <w:t>の技術基準</w:t>
        </w:r>
      </w:p>
    </w:sdtContent>
  </w:sdt>
  <w:p w:rsidR="00D22846" w:rsidRDefault="00D228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775"/>
    <w:rsid w:val="00096A17"/>
    <w:rsid w:val="001116BB"/>
    <w:rsid w:val="001A001D"/>
    <w:rsid w:val="00225DF9"/>
    <w:rsid w:val="002572CC"/>
    <w:rsid w:val="003325D9"/>
    <w:rsid w:val="00396E1C"/>
    <w:rsid w:val="003D3AA4"/>
    <w:rsid w:val="00462CD1"/>
    <w:rsid w:val="004744F8"/>
    <w:rsid w:val="004F7587"/>
    <w:rsid w:val="005655D3"/>
    <w:rsid w:val="00626D40"/>
    <w:rsid w:val="0067468C"/>
    <w:rsid w:val="007964F4"/>
    <w:rsid w:val="007A05EF"/>
    <w:rsid w:val="00836710"/>
    <w:rsid w:val="008E2C4F"/>
    <w:rsid w:val="00917931"/>
    <w:rsid w:val="009266FF"/>
    <w:rsid w:val="00966241"/>
    <w:rsid w:val="009809E8"/>
    <w:rsid w:val="009C07A3"/>
    <w:rsid w:val="009D0CA7"/>
    <w:rsid w:val="009D6E28"/>
    <w:rsid w:val="009E6342"/>
    <w:rsid w:val="00A81EE2"/>
    <w:rsid w:val="00AE1AA7"/>
    <w:rsid w:val="00AE3FC3"/>
    <w:rsid w:val="00B139CB"/>
    <w:rsid w:val="00B52113"/>
    <w:rsid w:val="00B82BB2"/>
    <w:rsid w:val="00BB3775"/>
    <w:rsid w:val="00BC056F"/>
    <w:rsid w:val="00BD7002"/>
    <w:rsid w:val="00C14382"/>
    <w:rsid w:val="00C3451B"/>
    <w:rsid w:val="00CE2927"/>
    <w:rsid w:val="00D22846"/>
    <w:rsid w:val="00D6233E"/>
    <w:rsid w:val="00DC2D79"/>
    <w:rsid w:val="00DD57CA"/>
    <w:rsid w:val="00E16BC5"/>
    <w:rsid w:val="00E75FF0"/>
    <w:rsid w:val="00E84BB7"/>
    <w:rsid w:val="00EB5B19"/>
    <w:rsid w:val="00F46798"/>
    <w:rsid w:val="00F510B6"/>
    <w:rsid w:val="00F7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803AE0"/>
  <w15:docId w15:val="{69584E55-C53B-4D4C-A00F-A2F864A9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2CC"/>
  </w:style>
  <w:style w:type="paragraph" w:styleId="a5">
    <w:name w:val="footer"/>
    <w:basedOn w:val="a"/>
    <w:link w:val="a6"/>
    <w:uiPriority w:val="99"/>
    <w:unhideWhenUsed/>
    <w:rsid w:val="00257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2CC"/>
  </w:style>
  <w:style w:type="paragraph" w:styleId="a7">
    <w:name w:val="Balloon Text"/>
    <w:basedOn w:val="a"/>
    <w:link w:val="a8"/>
    <w:uiPriority w:val="99"/>
    <w:semiHidden/>
    <w:unhideWhenUsed/>
    <w:rsid w:val="00F46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67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40C243CAB44DD6A3BD29AED8A933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D61923-B658-4284-BCC7-A96E0EEA13D8}"/>
      </w:docPartPr>
      <w:docPartBody>
        <w:p w:rsidR="00881A73" w:rsidRDefault="00881A73" w:rsidP="00881A73">
          <w:pPr>
            <w:pStyle w:val="1140C243CAB44DD6A3BD29AED8A9333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A73"/>
    <w:rsid w:val="00046C7E"/>
    <w:rsid w:val="001911FE"/>
    <w:rsid w:val="00477F3C"/>
    <w:rsid w:val="004B1894"/>
    <w:rsid w:val="004C6314"/>
    <w:rsid w:val="00881A73"/>
    <w:rsid w:val="00A42682"/>
    <w:rsid w:val="00C53464"/>
    <w:rsid w:val="00C86940"/>
    <w:rsid w:val="00DA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40C243CAB44DD6A3BD29AED8A93333">
    <w:name w:val="1140C243CAB44DD6A3BD29AED8A93333"/>
    <w:rsid w:val="00881A7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8673A-84BD-493D-8896-5A670F3C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　漏電火災警報器の技術基準</vt:lpstr>
    </vt:vector>
  </TitlesOfParts>
  <Company>Toshiba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　漏電火災警報器の技術基準</dc:title>
  <dc:creator>上谷 雄一</dc:creator>
  <cp:lastModifiedBy>前田 悠希</cp:lastModifiedBy>
  <cp:revision>27</cp:revision>
  <dcterms:created xsi:type="dcterms:W3CDTF">2016-10-03T11:24:00Z</dcterms:created>
  <dcterms:modified xsi:type="dcterms:W3CDTF">2023-08-17T01:24:00Z</dcterms:modified>
</cp:coreProperties>
</file>