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DD3F" w14:textId="77777777" w:rsidR="0082536C" w:rsidRPr="00222E07" w:rsidRDefault="00F46798" w:rsidP="008253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22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>第</w:t>
      </w:r>
      <w:r w:rsidR="00472E3E"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>９</w:t>
      </w:r>
      <w:r w:rsidR="0055426E"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 xml:space="preserve">　</w:t>
      </w:r>
      <w:r w:rsidR="00472E3E"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>屋外消火栓</w:t>
      </w:r>
      <w:r w:rsidR="0018398B"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>設備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22"/>
        </w:rPr>
        <w:t>の技術基準</w:t>
      </w:r>
    </w:p>
    <w:p w14:paraId="646A72E8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１　加圧送水装置</w:t>
      </w:r>
    </w:p>
    <w:p w14:paraId="62C710E3" w14:textId="77777777" w:rsidR="006A2EA0" w:rsidRPr="00222E07" w:rsidRDefault="006A2EA0" w:rsidP="00237B0D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加圧送水装置は，規則第22条第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９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号，第10号及び平成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９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年消防庁告示第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８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号の規定によるほか，次によること。</w:t>
      </w:r>
    </w:p>
    <w:p w14:paraId="09DFAFCE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⑴　加圧送水装置の位置</w:t>
      </w:r>
    </w:p>
    <w:p w14:paraId="6568356B" w14:textId="77777777" w:rsidR="00237B0D" w:rsidRPr="00222E07" w:rsidRDefault="00237B0D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⑴の規定を準用する。★</w:t>
      </w:r>
    </w:p>
    <w:p w14:paraId="69D643ED" w14:textId="77777777" w:rsidR="006A2EA0" w:rsidRPr="00222E07" w:rsidRDefault="006A2EA0" w:rsidP="00440EA6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⑵　ポンプを用いる加圧送水装置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は，第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⑵アの規定を準用するほか，次によること。</w:t>
      </w:r>
    </w:p>
    <w:p w14:paraId="5BF8D72D" w14:textId="77777777" w:rsidR="006A2EA0" w:rsidRPr="00222E07" w:rsidRDefault="006A2EA0" w:rsidP="00440EA6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非常動力装置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は，自家発電設備の基準（昭和48年消防庁告示第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号）に適合すること。◆</w:t>
      </w:r>
    </w:p>
    <w:p w14:paraId="7463D1C1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ポンプの吐出量</w:t>
      </w:r>
    </w:p>
    <w:p w14:paraId="3472D558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5984"/>
        </w:rPr>
        <w:t>(ア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5984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屋外消火栓専用の場合</w:t>
      </w:r>
    </w:p>
    <w:p w14:paraId="346F711A" w14:textId="77777777" w:rsidR="00440EA6" w:rsidRPr="00222E07" w:rsidRDefault="00440EA6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　規則第22条第10号ハ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76768"/>
        </w:rPr>
        <w:t>(イ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76768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の規定によること。</w:t>
      </w:r>
    </w:p>
    <w:p w14:paraId="3252CE02" w14:textId="77777777" w:rsidR="00440EA6" w:rsidRPr="00222E07" w:rsidRDefault="00440EA6" w:rsidP="00440EA6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　ただし，大規模な防火対象物で，屋外消火栓設備の有効範囲に包含されない部分が存するときは，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５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⑴イの規定によること。◆</w:t>
      </w:r>
    </w:p>
    <w:p w14:paraId="2DB5FB38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5983"/>
        </w:rPr>
        <w:t>(イ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5983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共用の場合</w:t>
      </w:r>
    </w:p>
    <w:p w14:paraId="39735AAD" w14:textId="77777777" w:rsidR="00440EA6" w:rsidRPr="00222E07" w:rsidRDefault="00440EA6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　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⑵イ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76512"/>
        </w:rPr>
        <w:t>(イ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76512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の規定を準用する。</w:t>
      </w:r>
    </w:p>
    <w:p w14:paraId="196A75B1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ウ　ポンプの全揚程（単位　ｍ）</w:t>
      </w:r>
    </w:p>
    <w:p w14:paraId="2431CEC9" w14:textId="77777777" w:rsidR="00440EA6" w:rsidRPr="00222E07" w:rsidRDefault="00440EA6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平ホースの摩擦損失水頭は，次の表による値以上の値とすること。★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05"/>
        <w:gridCol w:w="1205"/>
      </w:tblGrid>
      <w:tr w:rsidR="00222E07" w:rsidRPr="00222E07" w14:paraId="6179CB41" w14:textId="77777777" w:rsidTr="00440EA6">
        <w:trPr>
          <w:trHeight w:val="30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tl2br w:val="single" w:sz="4" w:space="0" w:color="auto"/>
            </w:tcBorders>
          </w:tcPr>
          <w:p w14:paraId="25D6B370" w14:textId="77777777" w:rsidR="00440EA6" w:rsidRPr="00222E07" w:rsidRDefault="00440EA6" w:rsidP="00440E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4"/>
                <w:szCs w:val="14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4"/>
                <w:szCs w:val="14"/>
              </w:rPr>
              <w:t>口径及び長さ</w:t>
            </w:r>
          </w:p>
          <w:p w14:paraId="38AE8EEE" w14:textId="77777777" w:rsidR="00440EA6" w:rsidRPr="00222E07" w:rsidRDefault="00440EA6" w:rsidP="00440EA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4"/>
                <w:szCs w:val="14"/>
              </w:rPr>
              <w:t>流量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1BADFFA1" w14:textId="77777777" w:rsidR="00440EA6" w:rsidRPr="00222E07" w:rsidRDefault="00440EA6" w:rsidP="00440E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50㎜×20ｍ</w:t>
            </w:r>
          </w:p>
        </w:tc>
        <w:tc>
          <w:tcPr>
            <w:tcW w:w="1205" w:type="dxa"/>
            <w:tcBorders>
              <w:top w:val="single" w:sz="12" w:space="0" w:color="000000"/>
              <w:right w:val="single" w:sz="12" w:space="0" w:color="000000"/>
            </w:tcBorders>
          </w:tcPr>
          <w:p w14:paraId="7D347BAE" w14:textId="77777777" w:rsidR="00440EA6" w:rsidRPr="00222E07" w:rsidRDefault="00440EA6" w:rsidP="00440E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65㎜×20ｍ</w:t>
            </w:r>
          </w:p>
        </w:tc>
      </w:tr>
      <w:tr w:rsidR="00222E07" w:rsidRPr="00222E07" w14:paraId="35A442FB" w14:textId="77777777" w:rsidTr="00440EA6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775EFF" w14:textId="77777777" w:rsidR="00440EA6" w:rsidRPr="00222E07" w:rsidRDefault="00440EA6" w:rsidP="00440E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350ℓ/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36842312" w14:textId="77777777" w:rsidR="00440EA6" w:rsidRPr="00222E07" w:rsidRDefault="00440EA6" w:rsidP="00440E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3.0ｍ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2397E" w14:textId="77777777" w:rsidR="00440EA6" w:rsidRPr="00222E07" w:rsidRDefault="00440EA6" w:rsidP="00440E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0.8ｍ</w:t>
            </w:r>
          </w:p>
        </w:tc>
      </w:tr>
    </w:tbl>
    <w:p w14:paraId="79AA7777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⑶　高架水槽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を用いる加圧送水装置は，次によること。</w:t>
      </w:r>
    </w:p>
    <w:p w14:paraId="1BB5F9BB" w14:textId="5B61BC82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消防用ホース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の摩擦損失水頭は，</w:t>
      </w:r>
      <w:r w:rsidR="00C60928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前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⑵ウの規定を準用する。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★</w:t>
      </w:r>
    </w:p>
    <w:p w14:paraId="2F3A4B2F" w14:textId="1C0437FC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加圧送水装置の吐出量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は，</w:t>
      </w:r>
      <w:r w:rsidR="00C60928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前</w:t>
      </w:r>
      <w:r w:rsidR="00440EA6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⑵イのポンプ吐出量を充足すること。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◆</w:t>
      </w:r>
    </w:p>
    <w:p w14:paraId="6A631227" w14:textId="77777777" w:rsidR="00126BD3" w:rsidRPr="00222E07" w:rsidRDefault="006A2EA0" w:rsidP="00126BD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⑷　圧力水槽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を用いる加圧送水装置は，第2屋内消火栓設備の技術基準2⑷イからエまでの規定を準用するほか，次によること。</w:t>
      </w:r>
    </w:p>
    <w:p w14:paraId="75BC5854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消防用ホース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の摩擦損失水頭は，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⑵ウの規定を準用する。★</w:t>
      </w:r>
    </w:p>
    <w:p w14:paraId="55957983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加圧送水装置の吐出量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は，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⑵イのポンプ吐出量を充足すること。◆</w:t>
      </w:r>
    </w:p>
    <w:p w14:paraId="62637F1D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⑸　起動装置等</w:t>
      </w:r>
    </w:p>
    <w:p w14:paraId="1E10644A" w14:textId="77777777" w:rsidR="006A2EA0" w:rsidRPr="00222E07" w:rsidRDefault="006A2EA0" w:rsidP="00126BD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規則第22条第10号ホの規定によるほか，第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⑸の規定を準用する。◆</w:t>
      </w:r>
    </w:p>
    <w:p w14:paraId="75E41BCF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⑹　起動表示灯</w:t>
      </w:r>
    </w:p>
    <w:p w14:paraId="4B0BC57E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⑹の規定を準用する。★</w:t>
      </w:r>
    </w:p>
    <w:p w14:paraId="1DA43ED4" w14:textId="77777777" w:rsidR="006A2EA0" w:rsidRDefault="006A2EA0" w:rsidP="00126BD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⑺　加圧送水装置</w:t>
      </w:r>
      <w:r w:rsidR="00126BD3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には，当該屋外消火栓のノズルの先端における放水圧力が0.6М㎩を超えないための措置を講じること。</w:t>
      </w:r>
    </w:p>
    <w:p w14:paraId="410B0C81" w14:textId="77777777" w:rsidR="00BF6F5D" w:rsidRPr="00222E07" w:rsidRDefault="00BF6F5D" w:rsidP="00126BD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ただし，当該放水圧力は0.35Мp</w:t>
      </w:r>
      <w:r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  <w:t>a</w:t>
      </w: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を超えないことが望ましい。◆</w:t>
      </w:r>
    </w:p>
    <w:p w14:paraId="5FEB8142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⑻　加圧送水装置の耐震措置</w:t>
      </w:r>
    </w:p>
    <w:p w14:paraId="68CABD5B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２⑺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の規定を準用する。★</w:t>
      </w:r>
    </w:p>
    <w:p w14:paraId="44CF39FA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lastRenderedPageBreak/>
        <w:t>２　水源等</w:t>
      </w:r>
    </w:p>
    <w:p w14:paraId="5CF01791" w14:textId="77777777" w:rsidR="006A2EA0" w:rsidRPr="00222E07" w:rsidRDefault="006A2EA0" w:rsidP="00694377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３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⑴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ただし書き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及び⑵から⑸の規定によるほか，水量が屋外消火栓の設置個数（当該設置個数が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を超えるときは，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とする。）に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７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㎥を乗じて得た量以上の量とする。★</w:t>
      </w:r>
    </w:p>
    <w:p w14:paraId="01C4F729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３　配管等</w:t>
      </w:r>
    </w:p>
    <w:p w14:paraId="7C4A9F6E" w14:textId="77777777" w:rsidR="006A2EA0" w:rsidRPr="00222E07" w:rsidRDefault="006A2EA0" w:rsidP="00694377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配管等の材質及び構造は，規則第22条第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８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号の規定によるほか，次によること。</w:t>
      </w:r>
    </w:p>
    <w:p w14:paraId="55D3405D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⑴　材質</w:t>
      </w:r>
    </w:p>
    <w:p w14:paraId="245914DE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４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⑴の規定を準用する。★</w:t>
      </w:r>
    </w:p>
    <w:p w14:paraId="08823D67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⑵　構造</w:t>
      </w:r>
    </w:p>
    <w:p w14:paraId="077A471A" w14:textId="77777777" w:rsidR="00694377" w:rsidRPr="00222E07" w:rsidRDefault="006A2EA0" w:rsidP="00694377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使用配管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は，水力計算により算出された呼び径によるものとし，管の受持つ許容水量は，次表に定めるもの以下とすること。★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222E07" w:rsidRPr="00222E07" w14:paraId="7D86922B" w14:textId="77777777" w:rsidTr="00694377"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</w:tcPr>
          <w:p w14:paraId="79066A23" w14:textId="77777777" w:rsidR="00694377" w:rsidRPr="00222E07" w:rsidRDefault="00694377" w:rsidP="006A2E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使用管径（㎜）</w:t>
            </w:r>
          </w:p>
        </w:tc>
        <w:tc>
          <w:tcPr>
            <w:tcW w:w="3119" w:type="dxa"/>
            <w:tcBorders>
              <w:top w:val="single" w:sz="12" w:space="0" w:color="000000"/>
              <w:right w:val="single" w:sz="12" w:space="0" w:color="000000"/>
            </w:tcBorders>
          </w:tcPr>
          <w:p w14:paraId="0622BBAD" w14:textId="77777777" w:rsidR="00694377" w:rsidRPr="00222E07" w:rsidRDefault="00694377" w:rsidP="00694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管の受持つ流水量（ℓ/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22E07" w:rsidRPr="00222E07" w14:paraId="6C83C7ED" w14:textId="77777777" w:rsidTr="00694377">
        <w:tc>
          <w:tcPr>
            <w:tcW w:w="1701" w:type="dxa"/>
            <w:tcBorders>
              <w:left w:val="single" w:sz="12" w:space="0" w:color="000000"/>
            </w:tcBorders>
          </w:tcPr>
          <w:p w14:paraId="2EA26FE9" w14:textId="77777777" w:rsidR="00694377" w:rsidRPr="00222E07" w:rsidRDefault="00694377" w:rsidP="006943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65以上　</w:t>
            </w:r>
          </w:p>
        </w:tc>
        <w:tc>
          <w:tcPr>
            <w:tcW w:w="3119" w:type="dxa"/>
            <w:tcBorders>
              <w:right w:val="single" w:sz="12" w:space="0" w:color="000000"/>
            </w:tcBorders>
          </w:tcPr>
          <w:p w14:paraId="28AC13E4" w14:textId="77777777" w:rsidR="00694377" w:rsidRPr="00222E07" w:rsidRDefault="00694377" w:rsidP="00694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</w:tr>
      <w:tr w:rsidR="00222E07" w:rsidRPr="00222E07" w14:paraId="21A0DD18" w14:textId="77777777" w:rsidTr="00694377"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</w:tcPr>
          <w:p w14:paraId="1699AE7C" w14:textId="77777777" w:rsidR="00694377" w:rsidRPr="00222E07" w:rsidRDefault="00694377" w:rsidP="006943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100以上　</w:t>
            </w:r>
          </w:p>
        </w:tc>
        <w:tc>
          <w:tcPr>
            <w:tcW w:w="3119" w:type="dxa"/>
            <w:tcBorders>
              <w:bottom w:val="single" w:sz="12" w:space="0" w:color="000000"/>
              <w:right w:val="single" w:sz="12" w:space="0" w:color="000000"/>
            </w:tcBorders>
          </w:tcPr>
          <w:p w14:paraId="20C7875E" w14:textId="77777777" w:rsidR="00694377" w:rsidRPr="00222E07" w:rsidRDefault="00694377" w:rsidP="00694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700</w:t>
            </w:r>
          </w:p>
        </w:tc>
      </w:tr>
    </w:tbl>
    <w:p w14:paraId="334EA12F" w14:textId="77777777" w:rsidR="006A2EA0" w:rsidRPr="00222E07" w:rsidRDefault="006A2EA0" w:rsidP="00694377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前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アによるほか，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４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⑵エからコの規定を準用する。★</w:t>
      </w:r>
    </w:p>
    <w:p w14:paraId="6A8A5C24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４　配線等</w:t>
      </w:r>
    </w:p>
    <w:p w14:paraId="58FDC9A3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５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の基準を準用する。</w:t>
      </w:r>
    </w:p>
    <w:p w14:paraId="1B2D5606" w14:textId="77777777" w:rsidR="00694377" w:rsidRPr="00222E07" w:rsidRDefault="00694377" w:rsidP="00694377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ただし，地中埋設配線は，耐火構造の主要構造部に埋設されたものと同等とみなす。★</w:t>
      </w:r>
    </w:p>
    <w:p w14:paraId="3549D58F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５　屋外消火栓の位置</w:t>
      </w:r>
    </w:p>
    <w:p w14:paraId="6C929D52" w14:textId="77777777" w:rsidR="008E5F7C" w:rsidRDefault="006A2EA0" w:rsidP="008E5F7C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⑴　位置</w:t>
      </w:r>
    </w:p>
    <w:p w14:paraId="4FAA52D7" w14:textId="77777777" w:rsidR="008E5F7C" w:rsidRDefault="006A2EA0" w:rsidP="008E5F7C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ア</w:t>
      </w:r>
      <w:r w:rsidR="008E5F7C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令第19条第３項第１号及び第２号に規定する「建築物の各部分」とは，</w:t>
      </w:r>
    </w:p>
    <w:p w14:paraId="5438EC47" w14:textId="77777777" w:rsidR="008E5F7C" w:rsidRDefault="008E5F7C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１階部分の外壁又はこれに代わる柱等の部分（地上１ｍ程度）をいうも</w:t>
      </w:r>
    </w:p>
    <w:p w14:paraId="26CD4865" w14:textId="77777777" w:rsidR="008E5F7C" w:rsidRDefault="008E5F7C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のとする。</w:t>
      </w:r>
    </w:p>
    <w:p w14:paraId="2C5F140C" w14:textId="77777777" w:rsidR="008E5F7C" w:rsidRDefault="008E5F7C" w:rsidP="008E5F7C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イ　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消火栓は，</w:t>
      </w: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原則として，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防火対象物の出入口（その他の開口部で，</w:t>
      </w:r>
      <w:r w:rsidR="008A3F8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消</w:t>
      </w:r>
    </w:p>
    <w:p w14:paraId="5690E387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火活動時容易にホースを延長して進入できるものを含む。</w:t>
      </w:r>
      <w:r w:rsidR="0069437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）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に設けるこ</w:t>
      </w:r>
    </w:p>
    <w:p w14:paraId="0F75A3B6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と。</w:t>
      </w:r>
      <w:r w:rsidR="008E5F7C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ただし，令第11条第４項の規定を適用しない場合は，この限りでな</w:t>
      </w:r>
    </w:p>
    <w:p w14:paraId="2F1645A6" w14:textId="77777777" w:rsidR="008E5F7C" w:rsidRDefault="008E5F7C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い。◆</w:t>
      </w:r>
    </w:p>
    <w:p w14:paraId="047AC48E" w14:textId="77777777" w:rsidR="008E5F7C" w:rsidRDefault="008E5F7C" w:rsidP="008E5F7C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ウ　令第11条第４項に規定する「当該設備の有効範囲内の部分」とは，屋</w:t>
      </w:r>
    </w:p>
    <w:p w14:paraId="74D3277E" w14:textId="77777777" w:rsidR="008E5F7C" w:rsidRDefault="008E5F7C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外消火栓設備にあっては，</w:t>
      </w:r>
      <w:r w:rsidR="008A3F8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各消火栓から水平距離40ｍ</w:t>
      </w: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の範囲内で，かつ，</w:t>
      </w:r>
    </w:p>
    <w:p w14:paraId="639EF78B" w14:textId="77777777" w:rsidR="008E5F7C" w:rsidRDefault="008E5F7C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当該範囲内にホース延長することができ，有効に消火できる部分をいう。</w:t>
      </w:r>
    </w:p>
    <w:p w14:paraId="648B898D" w14:textId="77777777" w:rsidR="008E5F7C" w:rsidRDefault="008E5F7C" w:rsidP="008E5F7C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なお，この場合の放水距離は，おおむね15ｍとすること。◆</w:t>
      </w:r>
    </w:p>
    <w:p w14:paraId="5828E24E" w14:textId="77777777" w:rsidR="008E5F7C" w:rsidRDefault="008E5F7C" w:rsidP="008E5F7C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したがって，「有効範囲内の部分」以外の部分</w:t>
      </w:r>
      <w:r w:rsidR="008A3F87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が，防火対象物の中央</w:t>
      </w:r>
    </w:p>
    <w:p w14:paraId="337E9C62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部に生ずるときは，当該部分に屋内消火栓設備を有効に設置すること。</w:t>
      </w:r>
    </w:p>
    <w:p w14:paraId="1B423179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ただし，建物構造上又は機械設備の設置状況等により，屋内消火栓を設</w:t>
      </w:r>
    </w:p>
    <w:p w14:paraId="5570A893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置することが困難な場合は，次の表の左欄に掲げる区分に応じたポンプ</w:t>
      </w:r>
    </w:p>
    <w:p w14:paraId="5E000364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lastRenderedPageBreak/>
        <w:t>吐出量とし，かつ，当該部分の直近の消火栓に必要なホースを増加する</w:t>
      </w:r>
    </w:p>
    <w:p w14:paraId="418EF410" w14:textId="77777777" w:rsidR="008E5F7C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ことにより，令第32条の規定を適用し，屋外消火栓を有効に設置したも</w:t>
      </w:r>
    </w:p>
    <w:p w14:paraId="2435D066" w14:textId="77777777" w:rsidR="008A3F87" w:rsidRPr="00222E07" w:rsidRDefault="008A3F87" w:rsidP="008E5F7C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のとみなす。◆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126"/>
      </w:tblGrid>
      <w:tr w:rsidR="00222E07" w:rsidRPr="00222E07" w14:paraId="4C1DA1C0" w14:textId="77777777" w:rsidTr="008A3F87">
        <w:tc>
          <w:tcPr>
            <w:tcW w:w="2552" w:type="dxa"/>
            <w:tcBorders>
              <w:top w:val="single" w:sz="12" w:space="0" w:color="000000"/>
              <w:left w:val="single" w:sz="12" w:space="0" w:color="000000"/>
            </w:tcBorders>
          </w:tcPr>
          <w:p w14:paraId="3F889094" w14:textId="77777777" w:rsidR="008A3F87" w:rsidRPr="00222E07" w:rsidRDefault="008A3F87" w:rsidP="008A3F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防護もれとなる部分の面積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</w:tcPr>
          <w:p w14:paraId="751F4817" w14:textId="77777777" w:rsidR="008A3F87" w:rsidRPr="00222E07" w:rsidRDefault="008A3F87" w:rsidP="008A3F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ポンプの吐出量</w:t>
            </w:r>
          </w:p>
        </w:tc>
      </w:tr>
      <w:tr w:rsidR="00222E07" w:rsidRPr="00222E07" w14:paraId="364275C0" w14:textId="77777777" w:rsidTr="008A3F87">
        <w:tc>
          <w:tcPr>
            <w:tcW w:w="2552" w:type="dxa"/>
            <w:tcBorders>
              <w:left w:val="single" w:sz="12" w:space="0" w:color="000000"/>
            </w:tcBorders>
          </w:tcPr>
          <w:p w14:paraId="27D32548" w14:textId="77777777" w:rsidR="008A3F87" w:rsidRPr="00222E07" w:rsidRDefault="008A3F87" w:rsidP="008A3F8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500㎡以下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6A4A0F86" w14:textId="77777777" w:rsidR="008A3F87" w:rsidRPr="00222E07" w:rsidRDefault="008A3F87" w:rsidP="008A3F8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800 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222E07" w:rsidRPr="00222E07" w14:paraId="58C4A1F2" w14:textId="77777777" w:rsidTr="008A3F87">
        <w:tc>
          <w:tcPr>
            <w:tcW w:w="2552" w:type="dxa"/>
            <w:tcBorders>
              <w:left w:val="single" w:sz="12" w:space="0" w:color="000000"/>
            </w:tcBorders>
          </w:tcPr>
          <w:p w14:paraId="2EAC1A12" w14:textId="77777777" w:rsidR="008A3F87" w:rsidRPr="00222E07" w:rsidRDefault="008A3F87" w:rsidP="008A3F8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500㎡を超え1,000㎡以下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1B70FDC8" w14:textId="77777777" w:rsidR="008A3F87" w:rsidRPr="00222E07" w:rsidRDefault="008A3F87" w:rsidP="008A3F8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1,200 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222E07" w:rsidRPr="00222E07" w14:paraId="5D8647F0" w14:textId="77777777" w:rsidTr="008A3F87">
        <w:tc>
          <w:tcPr>
            <w:tcW w:w="2552" w:type="dxa"/>
            <w:tcBorders>
              <w:left w:val="single" w:sz="12" w:space="0" w:color="000000"/>
            </w:tcBorders>
          </w:tcPr>
          <w:p w14:paraId="0A8594EA" w14:textId="77777777" w:rsidR="008A3F87" w:rsidRPr="00222E07" w:rsidRDefault="008A3F87" w:rsidP="008A3F8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1,000㎡を超え1,500㎡以下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41AE79DF" w14:textId="77777777" w:rsidR="008A3F87" w:rsidRPr="00222E07" w:rsidRDefault="008A3F87" w:rsidP="008A3F8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1,200 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8A3F87" w:rsidRPr="00222E07" w14:paraId="59B792FA" w14:textId="77777777" w:rsidTr="008A3F87">
        <w:tc>
          <w:tcPr>
            <w:tcW w:w="2552" w:type="dxa"/>
            <w:tcBorders>
              <w:left w:val="single" w:sz="12" w:space="0" w:color="000000"/>
              <w:bottom w:val="single" w:sz="12" w:space="0" w:color="000000"/>
            </w:tcBorders>
          </w:tcPr>
          <w:p w14:paraId="0382998F" w14:textId="77777777" w:rsidR="008A3F87" w:rsidRPr="00222E07" w:rsidRDefault="008A3F87" w:rsidP="008A3F8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1,500㎡を超えるもの 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</w:tcPr>
          <w:p w14:paraId="4449AE7C" w14:textId="77777777" w:rsidR="008A3F87" w:rsidRPr="00222E07" w:rsidRDefault="008A3F87" w:rsidP="008A3F87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</w:pP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>1,600ℓ/</w:t>
            </w:r>
            <w:r w:rsidRPr="00222E07">
              <w:rPr>
                <w:rFonts w:asciiTheme="minorEastAsia" w:hAnsiTheme="minorEastAsia" w:cs="RyuminPro-Regular"/>
                <w:color w:val="000000" w:themeColor="text1"/>
                <w:kern w:val="0"/>
                <w:sz w:val="18"/>
                <w:szCs w:val="18"/>
              </w:rPr>
              <w:t>min</w:t>
            </w:r>
            <w:r w:rsidRPr="00222E07">
              <w:rPr>
                <w:rFonts w:asciiTheme="minorEastAsia" w:hAnsiTheme="minorEastAsia" w:cs="RyuminPro-Regular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</w:tbl>
    <w:p w14:paraId="728E690B" w14:textId="77777777" w:rsidR="008A3F87" w:rsidRPr="00222E07" w:rsidRDefault="008A3F87" w:rsidP="008A3F87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5C60BE3C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⑵　屋外消火栓箱の構造及び標示は，次によること。</w:t>
      </w:r>
    </w:p>
    <w:p w14:paraId="066EEBBA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構造</w:t>
      </w:r>
    </w:p>
    <w:p w14:paraId="6855EF92" w14:textId="77777777" w:rsidR="006A2EA0" w:rsidRPr="00222E07" w:rsidRDefault="006A2EA0" w:rsidP="00271768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６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⑵ア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0608"/>
        </w:rPr>
        <w:t>(ア</w:t>
      </w:r>
      <w:r w:rsidR="00271768"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0608"/>
        </w:rPr>
        <w:t>)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及び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0607"/>
        </w:rPr>
        <w:t>(ウ</w:t>
      </w:r>
      <w:r w:rsidR="00271768"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0607"/>
        </w:rPr>
        <w:t>)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の規定を準用するほか，次によること。</w:t>
      </w:r>
    </w:p>
    <w:p w14:paraId="43D4AC4D" w14:textId="77777777" w:rsidR="00271768" w:rsidRPr="00222E07" w:rsidRDefault="006A2EA0" w:rsidP="00271768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6240"/>
        </w:rPr>
        <w:t>(ア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6240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箱の大きさは，内法幅0.85ｍ以上，高さ1.05ｍ以上とし，奥行は弁の操作，ホースの収納等に十分な余裕を有すること。◆</w:t>
      </w:r>
    </w:p>
    <w:p w14:paraId="50E2CDE7" w14:textId="77777777" w:rsidR="006A2EA0" w:rsidRPr="00222E07" w:rsidRDefault="006A2EA0" w:rsidP="00271768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6239"/>
        </w:rPr>
        <w:t>(イ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6239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消防用ホースは，「消防用ホースの技術上の規格を定める省令」（平成25年総務省令第22号）の基準に適合するものを使用すること。</w:t>
      </w:r>
    </w:p>
    <w:p w14:paraId="2801FF25" w14:textId="77777777" w:rsidR="00271768" w:rsidRPr="00222E07" w:rsidRDefault="00271768" w:rsidP="00271768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　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呼称50又は65のもので，長さ20ｍのものを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本以上設けること。また，ホースは，品質評価品を用いること。</w:t>
      </w:r>
    </w:p>
    <w:p w14:paraId="6FA5FB51" w14:textId="77777777" w:rsidR="006A2EA0" w:rsidRPr="00222E07" w:rsidRDefault="006A2EA0" w:rsidP="00237B0D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6238"/>
        </w:rPr>
        <w:t>(ウ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6238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令第19条第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３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項第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号に規定する消防用ホースの長さは，当該屋外消火栓のホースを展張させたものに放水距離を加えた範囲により，当該規定に定められた放水範囲の各部分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を</w:t>
      </w:r>
      <w:r w:rsidR="00237B0D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有効に放水できる長さとすること。</w:t>
      </w:r>
    </w:p>
    <w:p w14:paraId="4DA73A33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標示は，次によること。</w:t>
      </w:r>
    </w:p>
    <w:p w14:paraId="2370A666" w14:textId="77777777" w:rsidR="006A2EA0" w:rsidRPr="00222E07" w:rsidRDefault="006A2EA0" w:rsidP="00271768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6237"/>
        </w:rPr>
        <w:t>(ア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6237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消火栓箱は，赤色又は朱色（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第２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技術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基準</w:t>
      </w:r>
      <w:r w:rsidR="008E5F7C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６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⑵イに準じて位置表示灯を設置した場合は，この限りでない。）とし，扉の前面に黄色の発光塗料で「ホース格納箱」（放水口を内蔵するものは「消火栓」。）と表示すること。この場合の文字の大きさは，1文字につき20㎠以上とすること。★</w:t>
      </w:r>
    </w:p>
    <w:p w14:paraId="33AC51CD" w14:textId="77777777" w:rsidR="006A2EA0" w:rsidRPr="00222E07" w:rsidRDefault="006A2EA0" w:rsidP="00271768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</w:t>
      </w:r>
      <w:r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6236"/>
        </w:rPr>
        <w:t>(イ</w:t>
      </w:r>
      <w:r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6236"/>
        </w:rPr>
        <w:t>)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規則第22条第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４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号ロに規定する標識は，前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w w:val="50"/>
          <w:kern w:val="0"/>
          <w:sz w:val="18"/>
          <w:szCs w:val="18"/>
          <w:fitText w:val="180" w:id="-1219781376"/>
        </w:rPr>
        <w:t>(ア</w:t>
      </w:r>
      <w:r w:rsidR="00271768" w:rsidRPr="00222E07">
        <w:rPr>
          <w:rFonts w:asciiTheme="minorEastAsia" w:hAnsiTheme="minorEastAsia" w:cs="RyuminPro-Regular"/>
          <w:color w:val="000000" w:themeColor="text1"/>
          <w:w w:val="50"/>
          <w:kern w:val="0"/>
          <w:sz w:val="18"/>
          <w:szCs w:val="18"/>
          <w:fitText w:val="180" w:id="-1219781376"/>
        </w:rPr>
        <w:t>)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により放水口を消火栓箱に内蔵するものを除き，地面から50c</w:t>
      </w:r>
      <w:r w:rsidR="00271768" w:rsidRPr="00222E07"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  <w:t>m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以上，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ｍ以下の位置に，第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３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スプリンクラー設備の技術基準Ⅰ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４</w:t>
      </w:r>
      <w:r w:rsidR="00271768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⑷アの規定を準用して設けること。◆</w:t>
      </w:r>
    </w:p>
    <w:p w14:paraId="74CAE888" w14:textId="77777777" w:rsidR="00D70E49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⑶　消火栓の開閉弁等は，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規則第22条第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１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号の規定によるほか，次によるこ</w:t>
      </w:r>
    </w:p>
    <w:p w14:paraId="2747990D" w14:textId="77777777" w:rsidR="006A2EA0" w:rsidRPr="00222E07" w:rsidRDefault="00660A74" w:rsidP="00D70E4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と。</w:t>
      </w:r>
    </w:p>
    <w:p w14:paraId="00C75414" w14:textId="77777777" w:rsidR="006A2EA0" w:rsidRPr="00222E07" w:rsidRDefault="006A2EA0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開閉弁は，最大使用圧力の区分に応じた，評定品を使用すること。★</w:t>
      </w:r>
    </w:p>
    <w:p w14:paraId="79F13A43" w14:textId="77777777" w:rsidR="006A2EA0" w:rsidRPr="00222E07" w:rsidRDefault="006A2EA0" w:rsidP="00660A74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消火栓の開閉に器具を必要とするものは，ホース格納箱に当該器具を収納しておくこと。◆</w:t>
      </w:r>
    </w:p>
    <w:p w14:paraId="3655029E" w14:textId="77777777" w:rsidR="006A2EA0" w:rsidRPr="00222E07" w:rsidRDefault="006A2EA0" w:rsidP="00660A74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lastRenderedPageBreak/>
        <w:t xml:space="preserve">　　ウ　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放水口（ホース接続口）の結合金具は，第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６</w:t>
      </w:r>
      <w:r w:rsidR="00660A74"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⑶イの規定を準用すること。</w:t>
      </w:r>
    </w:p>
    <w:p w14:paraId="76524A87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　なお，「呼称40又は50」は「呼称50又は65」と読み替えるものとする。</w:t>
      </w:r>
    </w:p>
    <w:p w14:paraId="4E0202CC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　◆</w:t>
      </w:r>
    </w:p>
    <w:p w14:paraId="3E32195C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⑷　ノズル</w:t>
      </w:r>
    </w:p>
    <w:p w14:paraId="2303C2AE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ア　品質評価品を使用すること。◆</w:t>
      </w:r>
    </w:p>
    <w:p w14:paraId="62504209" w14:textId="77777777" w:rsidR="00660A74" w:rsidRPr="00222E07" w:rsidRDefault="00660A74" w:rsidP="00660A74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イ　ノズルチップの口径は，スムー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ス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ノズルの場合18ｍｍから20ｍｍのもので，噴霧切替装置を有すること。◆</w:t>
      </w:r>
    </w:p>
    <w:p w14:paraId="3C022F48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ウ　管体の元金具には取手をつけること。◆</w:t>
      </w:r>
    </w:p>
    <w:p w14:paraId="3ADCB918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６　凍結防止</w:t>
      </w:r>
    </w:p>
    <w:p w14:paraId="40B5A2B0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第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屋内消火栓設備の技術基準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７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の規定を準用する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。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◆</w:t>
      </w:r>
    </w:p>
    <w:p w14:paraId="132F1308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７　非常電源</w:t>
      </w:r>
    </w:p>
    <w:p w14:paraId="0FF9CC43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第23非常電源設備の技術基準によること。</w:t>
      </w:r>
      <w:r w:rsidR="00BF6F5D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★</w:t>
      </w:r>
    </w:p>
    <w:p w14:paraId="7D1DDC36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８　総合操作盤</w:t>
      </w:r>
    </w:p>
    <w:p w14:paraId="7D95F475" w14:textId="77777777" w:rsidR="00660A74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第25条の</w:t>
      </w:r>
      <w:r w:rsidR="00D70E49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２</w:t>
      </w: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>総合操作盤の技術基準によること。</w:t>
      </w:r>
    </w:p>
    <w:p w14:paraId="7CD01B9F" w14:textId="77777777" w:rsidR="008E5F7C" w:rsidRP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b/>
          <w:bCs/>
          <w:color w:val="000000" w:themeColor="text1"/>
          <w:kern w:val="0"/>
          <w:sz w:val="18"/>
          <w:szCs w:val="18"/>
        </w:rPr>
      </w:pPr>
      <w:r w:rsidRPr="008E5F7C">
        <w:rPr>
          <w:rFonts w:asciiTheme="minorEastAsia" w:hAnsiTheme="minorEastAsia" w:cs="RyuminPro-Regular" w:hint="eastAsia"/>
          <w:b/>
          <w:bCs/>
          <w:color w:val="000000" w:themeColor="text1"/>
          <w:kern w:val="0"/>
          <w:sz w:val="18"/>
          <w:szCs w:val="18"/>
        </w:rPr>
        <w:t>９　令第32条の特例基準</w:t>
      </w:r>
    </w:p>
    <w:p w14:paraId="56C08AFC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　第２屋内消火栓設備の技術基準９⑷の規定を準用する。</w:t>
      </w:r>
    </w:p>
    <w:p w14:paraId="33A0D8DD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CAC5EAB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BB88B6E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1C9D57A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270F6CFB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15D4B3DA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1C045D6E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6E811761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696ADCF2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43AB21BB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1739D967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21560F6C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7D9A7540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29912258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FDF5AD1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76ABDD63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A591A86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075B4E64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54DAFF49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70806CC2" w14:textId="77777777" w:rsidR="008E5F7C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09D93522" w14:textId="77777777" w:rsidR="008E5F7C" w:rsidRPr="00222E07" w:rsidRDefault="008E5F7C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6CD80721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lastRenderedPageBreak/>
        <w:t>屋外消火栓箱</w:t>
      </w:r>
    </w:p>
    <w:p w14:paraId="36967C84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１　標準型</w:t>
      </w:r>
    </w:p>
    <w:p w14:paraId="4633B3C9" w14:textId="77777777" w:rsidR="00660A74" w:rsidRDefault="0020486C" w:rsidP="002048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/>
          <w:noProof/>
          <w:color w:val="000000" w:themeColor="text1"/>
          <w:kern w:val="0"/>
          <w:sz w:val="18"/>
          <w:szCs w:val="18"/>
        </w:rPr>
        <w:drawing>
          <wp:inline distT="0" distB="0" distL="0" distR="0" wp14:anchorId="0906FD94" wp14:editId="6C3ADDA5">
            <wp:extent cx="3369945" cy="3133783"/>
            <wp:effectExtent l="0" t="0" r="1905" b="9525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4C5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73" cy="3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0C12" w14:textId="77777777" w:rsidR="008E5F7C" w:rsidRDefault="008E5F7C" w:rsidP="002048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332CF784" w14:textId="77777777" w:rsidR="008E5F7C" w:rsidRDefault="008E5F7C" w:rsidP="002048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5F2048C9" w14:textId="77777777" w:rsidR="008E5F7C" w:rsidRPr="00222E07" w:rsidRDefault="008E5F7C" w:rsidP="002048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</w:p>
    <w:p w14:paraId="74952BF2" w14:textId="77777777" w:rsidR="00660A74" w:rsidRPr="00222E07" w:rsidRDefault="00660A74" w:rsidP="006A2EA0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color w:val="000000" w:themeColor="text1"/>
          <w:kern w:val="0"/>
          <w:sz w:val="18"/>
          <w:szCs w:val="18"/>
        </w:rPr>
        <w:t xml:space="preserve">　２　関連機器組込型</w:t>
      </w:r>
    </w:p>
    <w:p w14:paraId="19C3D675" w14:textId="77777777" w:rsidR="0020486C" w:rsidRPr="00222E07" w:rsidRDefault="00BC1D13" w:rsidP="0020486C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color w:val="000000" w:themeColor="text1"/>
          <w:kern w:val="0"/>
          <w:sz w:val="18"/>
          <w:szCs w:val="18"/>
        </w:rPr>
      </w:pPr>
      <w:r w:rsidRPr="00222E07">
        <w:rPr>
          <w:rFonts w:asciiTheme="minorEastAsia" w:hAnsiTheme="minorEastAsia" w:cs="RyuminPro-Regular" w:hint="eastAsia"/>
          <w:noProof/>
          <w:color w:val="000000" w:themeColor="text1"/>
          <w:kern w:val="0"/>
          <w:sz w:val="18"/>
          <w:szCs w:val="18"/>
        </w:rPr>
        <w:drawing>
          <wp:inline distT="0" distB="0" distL="0" distR="0" wp14:anchorId="2955FCB4" wp14:editId="62CC3F4F">
            <wp:extent cx="3399061" cy="3723445"/>
            <wp:effectExtent l="0" t="0" r="0" b="0"/>
            <wp:docPr id="3" name="図 3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4690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349" cy="37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86C" w:rsidRPr="00222E07" w:rsidSect="007964F4">
      <w:headerReference w:type="default" r:id="rId9"/>
      <w:footerReference w:type="default" r:id="rId10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DC3A" w14:textId="77777777" w:rsidR="00B2172A" w:rsidRDefault="00B2172A" w:rsidP="002572CC">
      <w:r>
        <w:separator/>
      </w:r>
    </w:p>
  </w:endnote>
  <w:endnote w:type="continuationSeparator" w:id="0">
    <w:p w14:paraId="351A1169" w14:textId="77777777" w:rsidR="00B2172A" w:rsidRDefault="00B2172A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3878"/>
      <w:docPartObj>
        <w:docPartGallery w:val="Page Numbers (Bottom of Page)"/>
        <w:docPartUnique/>
      </w:docPartObj>
    </w:sdtPr>
    <w:sdtEndPr/>
    <w:sdtContent>
      <w:p w14:paraId="2BB53334" w14:textId="77777777" w:rsidR="00D70E85" w:rsidRDefault="00D70E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6B" w:rsidRPr="0016376B">
          <w:rPr>
            <w:noProof/>
            <w:lang w:val="ja-JP"/>
          </w:rPr>
          <w:t>24</w:t>
        </w:r>
        <w:r>
          <w:fldChar w:fldCharType="end"/>
        </w:r>
      </w:p>
    </w:sdtContent>
  </w:sdt>
  <w:p w14:paraId="617A145A" w14:textId="77777777" w:rsidR="00D70E85" w:rsidRDefault="00D70E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A333" w14:textId="77777777" w:rsidR="00B2172A" w:rsidRDefault="00B2172A" w:rsidP="002572CC">
      <w:r>
        <w:separator/>
      </w:r>
    </w:p>
  </w:footnote>
  <w:footnote w:type="continuationSeparator" w:id="0">
    <w:p w14:paraId="3334B960" w14:textId="77777777" w:rsidR="00B2172A" w:rsidRDefault="00B2172A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471FC6" w14:textId="77777777" w:rsidR="00D70E85" w:rsidRDefault="00472E3E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9</w:t>
        </w:r>
        <w:r w:rsidR="00D70E85"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屋外消火栓</w:t>
        </w:r>
        <w:r w:rsidR="00D70E85">
          <w:rPr>
            <w:rFonts w:asciiTheme="majorHAnsi" w:eastAsiaTheme="majorEastAsia" w:hAnsiTheme="majorHAnsi" w:cstheme="majorBidi" w:hint="eastAsia"/>
            <w:sz w:val="16"/>
            <w:szCs w:val="16"/>
          </w:rPr>
          <w:t>設備</w:t>
        </w:r>
        <w:r w:rsidR="00D70E85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14:paraId="539ABEBA" w14:textId="77777777" w:rsidR="00D70E85" w:rsidRDefault="00D70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F10FB"/>
    <w:rsid w:val="001116BB"/>
    <w:rsid w:val="00126BD3"/>
    <w:rsid w:val="00146AE4"/>
    <w:rsid w:val="0016376B"/>
    <w:rsid w:val="0018398B"/>
    <w:rsid w:val="001F4D6A"/>
    <w:rsid w:val="0020486C"/>
    <w:rsid w:val="00222E07"/>
    <w:rsid w:val="00237B0D"/>
    <w:rsid w:val="0025225D"/>
    <w:rsid w:val="002572CC"/>
    <w:rsid w:val="00271768"/>
    <w:rsid w:val="002B38B3"/>
    <w:rsid w:val="003325D9"/>
    <w:rsid w:val="00396E1C"/>
    <w:rsid w:val="003D3AA4"/>
    <w:rsid w:val="004340F7"/>
    <w:rsid w:val="00440EA6"/>
    <w:rsid w:val="00472E3E"/>
    <w:rsid w:val="004744F8"/>
    <w:rsid w:val="0048344C"/>
    <w:rsid w:val="00494B6E"/>
    <w:rsid w:val="0055426E"/>
    <w:rsid w:val="00555918"/>
    <w:rsid w:val="005655D3"/>
    <w:rsid w:val="0059042B"/>
    <w:rsid w:val="005C42DF"/>
    <w:rsid w:val="00610BCD"/>
    <w:rsid w:val="00617F74"/>
    <w:rsid w:val="0064737E"/>
    <w:rsid w:val="00660A74"/>
    <w:rsid w:val="00663547"/>
    <w:rsid w:val="0067468C"/>
    <w:rsid w:val="00694377"/>
    <w:rsid w:val="006A2EA0"/>
    <w:rsid w:val="0072739E"/>
    <w:rsid w:val="007964F4"/>
    <w:rsid w:val="0082536C"/>
    <w:rsid w:val="00836710"/>
    <w:rsid w:val="00841941"/>
    <w:rsid w:val="00842730"/>
    <w:rsid w:val="008A3F87"/>
    <w:rsid w:val="008E2C4F"/>
    <w:rsid w:val="008E5F7C"/>
    <w:rsid w:val="008E74C4"/>
    <w:rsid w:val="009266FF"/>
    <w:rsid w:val="00947137"/>
    <w:rsid w:val="009665EA"/>
    <w:rsid w:val="009C07A3"/>
    <w:rsid w:val="009E2419"/>
    <w:rsid w:val="009E6342"/>
    <w:rsid w:val="00A03006"/>
    <w:rsid w:val="00A64007"/>
    <w:rsid w:val="00A81EE2"/>
    <w:rsid w:val="00A8521B"/>
    <w:rsid w:val="00AA5935"/>
    <w:rsid w:val="00AE3FC3"/>
    <w:rsid w:val="00B02ED6"/>
    <w:rsid w:val="00B139CB"/>
    <w:rsid w:val="00B2172A"/>
    <w:rsid w:val="00B21C32"/>
    <w:rsid w:val="00BB3775"/>
    <w:rsid w:val="00BC056F"/>
    <w:rsid w:val="00BC1D13"/>
    <w:rsid w:val="00BD7002"/>
    <w:rsid w:val="00BF6F5D"/>
    <w:rsid w:val="00C14382"/>
    <w:rsid w:val="00C524E0"/>
    <w:rsid w:val="00C60928"/>
    <w:rsid w:val="00CC1757"/>
    <w:rsid w:val="00CE2927"/>
    <w:rsid w:val="00D22846"/>
    <w:rsid w:val="00D5074A"/>
    <w:rsid w:val="00D70E49"/>
    <w:rsid w:val="00D70E85"/>
    <w:rsid w:val="00D73009"/>
    <w:rsid w:val="00DF06C2"/>
    <w:rsid w:val="00E16BC5"/>
    <w:rsid w:val="00E214B1"/>
    <w:rsid w:val="00E66DC7"/>
    <w:rsid w:val="00E862D6"/>
    <w:rsid w:val="00E9670E"/>
    <w:rsid w:val="00EB5B19"/>
    <w:rsid w:val="00F46798"/>
    <w:rsid w:val="00F75D0C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3C43E"/>
  <w15:docId w15:val="{DC101801-8E91-478C-8E3A-17A90C84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327D98"/>
    <w:rsid w:val="00544FC6"/>
    <w:rsid w:val="005C7461"/>
    <w:rsid w:val="006B6DE1"/>
    <w:rsid w:val="00831967"/>
    <w:rsid w:val="00881A73"/>
    <w:rsid w:val="0099339F"/>
    <w:rsid w:val="00A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1CDC-B54F-468A-886F-008E1AC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　屋外消火栓設備の技術基準</vt:lpstr>
    </vt:vector>
  </TitlesOfParts>
  <Company>Toshiba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　屋外消火栓設備の技術基準</dc:title>
  <dc:creator>上谷 雄一</dc:creator>
  <cp:lastModifiedBy>杉本 壮隆</cp:lastModifiedBy>
  <cp:revision>47</cp:revision>
  <dcterms:created xsi:type="dcterms:W3CDTF">2016-10-03T11:24:00Z</dcterms:created>
  <dcterms:modified xsi:type="dcterms:W3CDTF">2024-01-12T05:49:00Z</dcterms:modified>
</cp:coreProperties>
</file>